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AA618E" w:rsidRDefault="00B3448B" w:rsidP="00B3448B">
      <w:bookmarkStart w:id="0" w:name="_GoBack"/>
      <w:bookmarkEnd w:id="0"/>
    </w:p>
    <w:p w:rsidR="004B47B6" w:rsidRDefault="004B47B6" w:rsidP="004B47B6">
      <w:r>
        <w:t>Наименование организации:</w:t>
      </w:r>
      <w:r>
        <w:rPr>
          <w:rStyle w:val="a9"/>
        </w:rPr>
        <w:t xml:space="preserve"> </w:t>
      </w:r>
      <w:fldSimple w:instr=" DOCVARIABLE ceh_info \* MERGEFORMAT ">
        <w:r>
          <w:rPr>
            <w:rStyle w:val="a9"/>
          </w:rPr>
          <w:t>Федеральное государственное бюджетное военное образовательное учреждение высшего образования "Военно-медицинская академия имени С.М.Кирова" Министерства обороны Российской Федерации (Объединенная нештатная лаборатория)</w:t>
        </w:r>
      </w:fldSimple>
      <w:r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67"/>
        <w:gridCol w:w="3260"/>
        <w:gridCol w:w="2126"/>
        <w:gridCol w:w="1701"/>
        <w:gridCol w:w="2694"/>
        <w:gridCol w:w="1315"/>
      </w:tblGrid>
      <w:tr w:rsidR="00DB70BA" w:rsidRPr="00AF49A3" w:rsidTr="004B47B6">
        <w:trPr>
          <w:jc w:val="center"/>
        </w:trPr>
        <w:tc>
          <w:tcPr>
            <w:tcW w:w="4467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1" w:name="main_table"/>
            <w:bookmarkEnd w:id="1"/>
            <w:r w:rsidRPr="00063DF1">
              <w:t>Наименование структурного подразделения, р</w:t>
            </w:r>
            <w:r w:rsidRPr="00063DF1">
              <w:t>а</w:t>
            </w:r>
            <w:r w:rsidRPr="00063DF1">
              <w:t>бочего места</w:t>
            </w:r>
          </w:p>
        </w:tc>
        <w:tc>
          <w:tcPr>
            <w:tcW w:w="326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12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701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26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</w:t>
            </w:r>
            <w:r w:rsidRPr="00063DF1">
              <w:t>е</w:t>
            </w:r>
            <w:r w:rsidRPr="00063DF1">
              <w:t>ния, привлекаемые для в</w:t>
            </w:r>
            <w:r w:rsidRPr="00063DF1">
              <w:t>ы</w:t>
            </w:r>
            <w:r w:rsidRPr="00063DF1">
              <w:t>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4B47B6">
        <w:trPr>
          <w:jc w:val="center"/>
        </w:trPr>
        <w:tc>
          <w:tcPr>
            <w:tcW w:w="446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26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12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70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26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AA618E" w:rsidRPr="00AF49A3" w:rsidTr="004B47B6">
        <w:trPr>
          <w:jc w:val="center"/>
        </w:trPr>
        <w:tc>
          <w:tcPr>
            <w:tcW w:w="4467" w:type="dxa"/>
            <w:vAlign w:val="center"/>
          </w:tcPr>
          <w:p w:rsidR="00AA618E" w:rsidRPr="00AA618E" w:rsidRDefault="00AA618E" w:rsidP="00AA618E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Объединенная нештатная лаборатория</w:t>
            </w:r>
          </w:p>
        </w:tc>
        <w:tc>
          <w:tcPr>
            <w:tcW w:w="3260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2126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1701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2694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</w:tr>
      <w:tr w:rsidR="004B47B6" w:rsidRPr="00AF49A3" w:rsidTr="004B47B6">
        <w:trPr>
          <w:trHeight w:val="4121"/>
          <w:jc w:val="center"/>
        </w:trPr>
        <w:tc>
          <w:tcPr>
            <w:tcW w:w="4467" w:type="dxa"/>
            <w:vMerge w:val="restart"/>
            <w:vAlign w:val="center"/>
          </w:tcPr>
          <w:p w:rsidR="004B47B6" w:rsidRDefault="004B47B6" w:rsidP="00AA618E">
            <w:pPr>
              <w:pStyle w:val="aa"/>
              <w:rPr>
                <w:i/>
              </w:rPr>
            </w:pPr>
            <w:r>
              <w:rPr>
                <w:i/>
              </w:rPr>
              <w:t>Лабораторное отделение</w:t>
            </w:r>
          </w:p>
          <w:p w:rsidR="004B47B6" w:rsidRDefault="004B47B6" w:rsidP="00AA618E">
            <w:pPr>
              <w:pStyle w:val="aa"/>
            </w:pPr>
            <w:r>
              <w:rPr>
                <w:sz w:val="18"/>
                <w:szCs w:val="18"/>
              </w:rPr>
              <w:t xml:space="preserve">Заведующий </w:t>
            </w:r>
            <w:proofErr w:type="gramStart"/>
            <w:r>
              <w:rPr>
                <w:sz w:val="18"/>
                <w:szCs w:val="18"/>
              </w:rPr>
              <w:t>лабораторией-врач</w:t>
            </w:r>
            <w:proofErr w:type="gramEnd"/>
            <w:r>
              <w:rPr>
                <w:sz w:val="18"/>
                <w:szCs w:val="18"/>
              </w:rPr>
              <w:t xml:space="preserve"> клинической лабор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торной диагностики</w:t>
            </w:r>
          </w:p>
          <w:p w:rsidR="004B47B6" w:rsidRDefault="004B47B6" w:rsidP="00AA618E">
            <w:pPr>
              <w:pStyle w:val="aa"/>
            </w:pPr>
            <w:r>
              <w:rPr>
                <w:i/>
                <w:sz w:val="18"/>
                <w:szCs w:val="18"/>
              </w:rPr>
              <w:t>Биохимическая лаборатория</w:t>
            </w:r>
          </w:p>
          <w:p w:rsidR="004B47B6" w:rsidRDefault="004B47B6" w:rsidP="00AA618E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лабораторией-врач клинической лабор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торной диагностики</w:t>
            </w:r>
          </w:p>
          <w:p w:rsidR="004B47B6" w:rsidRDefault="004B47B6" w:rsidP="00AA618E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клинической лабораторной диагностики</w:t>
            </w:r>
          </w:p>
          <w:p w:rsidR="004B47B6" w:rsidRDefault="004B47B6" w:rsidP="00AA618E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</w:t>
            </w:r>
          </w:p>
          <w:p w:rsidR="004B47B6" w:rsidRDefault="004B47B6" w:rsidP="00AA618E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</w:t>
            </w:r>
          </w:p>
          <w:p w:rsidR="004B47B6" w:rsidRDefault="004B47B6" w:rsidP="00AA618E">
            <w:pPr>
              <w:pStyle w:val="aa"/>
            </w:pPr>
            <w:r>
              <w:rPr>
                <w:i/>
                <w:sz w:val="18"/>
                <w:szCs w:val="18"/>
              </w:rPr>
              <w:t>Клиническая лаборатория</w:t>
            </w:r>
          </w:p>
          <w:p w:rsidR="004B47B6" w:rsidRDefault="004B47B6" w:rsidP="00AA618E">
            <w:pPr>
              <w:pStyle w:val="aa"/>
            </w:pPr>
            <w:r>
              <w:rPr>
                <w:sz w:val="18"/>
                <w:szCs w:val="18"/>
              </w:rPr>
              <w:t>Заведующий лабораторией-врач клинической лабор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торной диагностики</w:t>
            </w:r>
          </w:p>
          <w:p w:rsidR="004B47B6" w:rsidRDefault="004B47B6" w:rsidP="00AA618E">
            <w:pPr>
              <w:pStyle w:val="aa"/>
            </w:pPr>
            <w:r>
              <w:rPr>
                <w:sz w:val="18"/>
                <w:szCs w:val="18"/>
              </w:rPr>
              <w:t>Врач клинической лабораторной диагностики</w:t>
            </w:r>
          </w:p>
          <w:p w:rsidR="004B47B6" w:rsidRDefault="004B47B6" w:rsidP="00AA618E">
            <w:pPr>
              <w:pStyle w:val="aa"/>
            </w:pPr>
            <w:r>
              <w:rPr>
                <w:sz w:val="18"/>
                <w:szCs w:val="18"/>
              </w:rPr>
              <w:t>Фельдшер-лаборант</w:t>
            </w:r>
          </w:p>
          <w:p w:rsidR="004B47B6" w:rsidRDefault="004B47B6" w:rsidP="00AA618E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</w:t>
            </w:r>
          </w:p>
          <w:p w:rsidR="004B47B6" w:rsidRDefault="004B47B6" w:rsidP="00AA618E">
            <w:pPr>
              <w:pStyle w:val="aa"/>
            </w:pPr>
            <w:r>
              <w:rPr>
                <w:sz w:val="18"/>
                <w:szCs w:val="18"/>
              </w:rPr>
              <w:t>Лаборант</w:t>
            </w:r>
          </w:p>
          <w:p w:rsidR="004B47B6" w:rsidRDefault="004B47B6" w:rsidP="00AA618E">
            <w:pPr>
              <w:pStyle w:val="aa"/>
            </w:pPr>
            <w:r>
              <w:rPr>
                <w:i/>
                <w:sz w:val="18"/>
                <w:szCs w:val="18"/>
              </w:rPr>
              <w:t>Лаборатория экспресс-диагностики</w:t>
            </w:r>
          </w:p>
          <w:p w:rsidR="004B47B6" w:rsidRDefault="004B47B6" w:rsidP="00AA618E">
            <w:pPr>
              <w:pStyle w:val="aa"/>
            </w:pPr>
            <w:r>
              <w:rPr>
                <w:sz w:val="18"/>
                <w:szCs w:val="18"/>
              </w:rPr>
              <w:t>Заведующий лабораторией-врач клинической лабор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торной диагностики</w:t>
            </w:r>
          </w:p>
          <w:p w:rsidR="004B47B6" w:rsidRDefault="004B47B6" w:rsidP="00AA618E">
            <w:pPr>
              <w:pStyle w:val="aa"/>
            </w:pPr>
            <w:r>
              <w:rPr>
                <w:sz w:val="18"/>
                <w:szCs w:val="18"/>
              </w:rPr>
              <w:t>Врач клинической лабораторной диагностики</w:t>
            </w:r>
          </w:p>
          <w:p w:rsidR="004B47B6" w:rsidRDefault="004B47B6" w:rsidP="00AA618E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</w:t>
            </w:r>
          </w:p>
          <w:p w:rsidR="004B47B6" w:rsidRDefault="004B47B6" w:rsidP="00AA618E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</w:t>
            </w:r>
          </w:p>
          <w:p w:rsidR="004B47B6" w:rsidRDefault="004B47B6" w:rsidP="00AA618E">
            <w:pPr>
              <w:pStyle w:val="aa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Кафедра военно-морской хирургии</w:t>
            </w:r>
          </w:p>
          <w:p w:rsidR="004B47B6" w:rsidRDefault="004B47B6" w:rsidP="00AA618E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лабораторией-врач клинической лабор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торной диагностики</w:t>
            </w:r>
          </w:p>
          <w:p w:rsidR="004B47B6" w:rsidRDefault="004B47B6" w:rsidP="00AA618E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</w:t>
            </w:r>
          </w:p>
          <w:p w:rsidR="004B47B6" w:rsidRDefault="004B47B6" w:rsidP="004B47B6">
            <w:pPr>
              <w:pStyle w:val="aa"/>
            </w:pPr>
            <w:r>
              <w:rPr>
                <w:sz w:val="18"/>
                <w:szCs w:val="18"/>
              </w:rPr>
              <w:t>Фельдшер-лаборант</w:t>
            </w:r>
          </w:p>
          <w:p w:rsidR="004B47B6" w:rsidRDefault="004B47B6" w:rsidP="00AA618E">
            <w:pPr>
              <w:pStyle w:val="aa"/>
            </w:pPr>
            <w:r>
              <w:rPr>
                <w:i/>
                <w:sz w:val="18"/>
                <w:szCs w:val="18"/>
              </w:rPr>
              <w:t>Кафедра урологии</w:t>
            </w:r>
          </w:p>
          <w:p w:rsidR="004B47B6" w:rsidRDefault="004B47B6" w:rsidP="00AA618E">
            <w:pPr>
              <w:pStyle w:val="aa"/>
            </w:pPr>
            <w:r>
              <w:rPr>
                <w:sz w:val="18"/>
                <w:szCs w:val="18"/>
              </w:rPr>
              <w:t>Заведующий лабораторией-врач клинической лабор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торной диагностики</w:t>
            </w:r>
          </w:p>
          <w:p w:rsidR="004B47B6" w:rsidRPr="00AA618E" w:rsidRDefault="004B47B6" w:rsidP="004B47B6">
            <w:pPr>
              <w:pStyle w:val="aa"/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3260" w:type="dxa"/>
            <w:vAlign w:val="center"/>
          </w:tcPr>
          <w:p w:rsidR="004B47B6" w:rsidRPr="00063DF1" w:rsidRDefault="004B47B6" w:rsidP="00DB70BA">
            <w:pPr>
              <w:pStyle w:val="aa"/>
            </w:pPr>
            <w:r w:rsidRPr="004B47B6">
              <w:t>Организовать трудовой процесс в соответствии с Методическими рекомендациями МР 2.2.9.2311-07 «Профилактика стрессового с</w:t>
            </w:r>
            <w:r w:rsidRPr="004B47B6">
              <w:t>о</w:t>
            </w:r>
            <w:r w:rsidRPr="004B47B6">
              <w:t>стояния работников при различных видах профессиональной деятел</w:t>
            </w:r>
            <w:r w:rsidRPr="004B47B6">
              <w:t>ь</w:t>
            </w:r>
            <w:r w:rsidRPr="004B47B6">
              <w:t>ности» утв. Главным санитарным врачом РФ 18.12.2007 г.</w:t>
            </w:r>
          </w:p>
        </w:tc>
        <w:tc>
          <w:tcPr>
            <w:tcW w:w="2126" w:type="dxa"/>
            <w:vAlign w:val="center"/>
          </w:tcPr>
          <w:p w:rsidR="004B47B6" w:rsidRDefault="004B47B6" w:rsidP="004B47B6">
            <w:pPr>
              <w:pStyle w:val="aa"/>
            </w:pPr>
            <w:r>
              <w:t>Снижение влияния тяжести трудового процесса</w:t>
            </w:r>
          </w:p>
          <w:p w:rsidR="004B47B6" w:rsidRPr="00063DF1" w:rsidRDefault="004B47B6" w:rsidP="004B47B6">
            <w:pPr>
              <w:pStyle w:val="aa"/>
            </w:pPr>
            <w:r>
              <w:t>Снижение влияния напряженности тр</w:t>
            </w:r>
            <w:r>
              <w:t>у</w:t>
            </w:r>
            <w:r>
              <w:t>дового процесса</w:t>
            </w:r>
          </w:p>
        </w:tc>
        <w:tc>
          <w:tcPr>
            <w:tcW w:w="1701" w:type="dxa"/>
            <w:vAlign w:val="center"/>
          </w:tcPr>
          <w:p w:rsidR="004B47B6" w:rsidRPr="00063DF1" w:rsidRDefault="004B47B6" w:rsidP="00DB70BA">
            <w:pPr>
              <w:pStyle w:val="aa"/>
            </w:pPr>
          </w:p>
        </w:tc>
        <w:tc>
          <w:tcPr>
            <w:tcW w:w="2694" w:type="dxa"/>
            <w:vAlign w:val="center"/>
          </w:tcPr>
          <w:p w:rsidR="004B47B6" w:rsidRPr="00063DF1" w:rsidRDefault="004B47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B47B6" w:rsidRPr="00063DF1" w:rsidRDefault="004B47B6" w:rsidP="00DB70BA">
            <w:pPr>
              <w:pStyle w:val="aa"/>
            </w:pPr>
          </w:p>
        </w:tc>
      </w:tr>
      <w:tr w:rsidR="004B47B6" w:rsidRPr="00AF49A3" w:rsidTr="004B47B6">
        <w:trPr>
          <w:jc w:val="center"/>
        </w:trPr>
        <w:tc>
          <w:tcPr>
            <w:tcW w:w="4467" w:type="dxa"/>
            <w:vMerge/>
            <w:vAlign w:val="center"/>
          </w:tcPr>
          <w:p w:rsidR="004B47B6" w:rsidRPr="00AA618E" w:rsidRDefault="004B47B6" w:rsidP="00AA618E">
            <w:pPr>
              <w:pStyle w:val="aa"/>
            </w:pPr>
          </w:p>
        </w:tc>
        <w:tc>
          <w:tcPr>
            <w:tcW w:w="3260" w:type="dxa"/>
            <w:vAlign w:val="center"/>
          </w:tcPr>
          <w:p w:rsidR="004B47B6" w:rsidRPr="00063DF1" w:rsidRDefault="004B47B6" w:rsidP="00AA618E">
            <w:pPr>
              <w:pStyle w:val="aa"/>
            </w:pPr>
            <w:r w:rsidRPr="00AA618E">
              <w:t>Определить необходимость пр</w:t>
            </w:r>
            <w:r w:rsidRPr="00AA618E">
              <w:t>и</w:t>
            </w:r>
            <w:r w:rsidRPr="00AA618E">
              <w:t>менения технических средств по приведению уровней освещенн</w:t>
            </w:r>
            <w:r w:rsidRPr="00AA618E">
              <w:t>о</w:t>
            </w:r>
            <w:r w:rsidRPr="00AA618E">
              <w:t>сти в соответствии с требованиями СНиП 23-05-95 «Естественное и искусственное освещение»</w:t>
            </w:r>
          </w:p>
        </w:tc>
        <w:tc>
          <w:tcPr>
            <w:tcW w:w="2126" w:type="dxa"/>
            <w:vAlign w:val="center"/>
          </w:tcPr>
          <w:p w:rsidR="004B47B6" w:rsidRPr="00063DF1" w:rsidRDefault="004B47B6" w:rsidP="00DB70BA">
            <w:pPr>
              <w:pStyle w:val="aa"/>
            </w:pPr>
            <w:r w:rsidRPr="00AA618E">
              <w:t>Приведение освеще</w:t>
            </w:r>
            <w:r w:rsidRPr="00AA618E">
              <w:t>н</w:t>
            </w:r>
            <w:r w:rsidRPr="00AA618E">
              <w:t>ности на рабочем месте к нормам в с</w:t>
            </w:r>
            <w:r w:rsidRPr="00AA618E">
              <w:t>о</w:t>
            </w:r>
            <w:r w:rsidRPr="00AA618E">
              <w:t>отв. с НПА</w:t>
            </w:r>
          </w:p>
        </w:tc>
        <w:tc>
          <w:tcPr>
            <w:tcW w:w="1701" w:type="dxa"/>
            <w:vAlign w:val="center"/>
          </w:tcPr>
          <w:p w:rsidR="004B47B6" w:rsidRPr="00063DF1" w:rsidRDefault="004B47B6" w:rsidP="00DB70BA">
            <w:pPr>
              <w:pStyle w:val="aa"/>
            </w:pPr>
          </w:p>
        </w:tc>
        <w:tc>
          <w:tcPr>
            <w:tcW w:w="2694" w:type="dxa"/>
            <w:vAlign w:val="center"/>
          </w:tcPr>
          <w:p w:rsidR="004B47B6" w:rsidRPr="00063DF1" w:rsidRDefault="004B47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B47B6" w:rsidRPr="00063DF1" w:rsidRDefault="004B47B6" w:rsidP="00DB70BA">
            <w:pPr>
              <w:pStyle w:val="aa"/>
            </w:pPr>
          </w:p>
        </w:tc>
      </w:tr>
    </w:tbl>
    <w:p w:rsidR="001B06AD" w:rsidRPr="00E35A3C" w:rsidRDefault="001B06AD" w:rsidP="00E35A3C"/>
    <w:sectPr w:rsidR="001B06AD" w:rsidRPr="00E35A3C" w:rsidSect="004B47B6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compat/>
  <w:docVars>
    <w:docVar w:name="ceh_info" w:val=" Федеральное государственное бюджетное военное образовательное учреждение высшего образования &quot;Военно-медицинская академия имени С.М.Кирова&quot; Министерства обороны Российской Федерации "/>
    <w:docVar w:name="fill_date" w:val="18.11.2015"/>
    <w:docVar w:name="org_name" w:val="     "/>
    <w:docVar w:name="pers_guids" w:val="C728B44F4AC64D7E8537C1037822AEE4@"/>
    <w:docVar w:name="pers_snils" w:val="C728B44F4AC64D7E8537C1037822AEE4@"/>
    <w:docVar w:name="sv_docs" w:val="1"/>
  </w:docVars>
  <w:rsids>
    <w:rsidRoot w:val="00AA618E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47B6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820552"/>
    <w:rsid w:val="008B4051"/>
    <w:rsid w:val="008C0968"/>
    <w:rsid w:val="009647F7"/>
    <w:rsid w:val="009A1326"/>
    <w:rsid w:val="009D6532"/>
    <w:rsid w:val="00A026A4"/>
    <w:rsid w:val="00A567D1"/>
    <w:rsid w:val="00AA618E"/>
    <w:rsid w:val="00B002EE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35A3C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4B47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B47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4B47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B47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91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OEM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User</dc:creator>
  <cp:lastModifiedBy>Сотрудник</cp:lastModifiedBy>
  <cp:revision>2</cp:revision>
  <cp:lastPrinted>2016-02-02T13:15:00Z</cp:lastPrinted>
  <dcterms:created xsi:type="dcterms:W3CDTF">2016-02-02T11:45:00Z</dcterms:created>
  <dcterms:modified xsi:type="dcterms:W3CDTF">2016-02-16T10:58:00Z</dcterms:modified>
</cp:coreProperties>
</file>