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95" w:rsidRPr="00E00A95" w:rsidRDefault="00E00A95" w:rsidP="00E00A95">
      <w:pPr>
        <w:shd w:val="clear" w:color="auto" w:fill="E3E3E3"/>
        <w:spacing w:before="168" w:after="72" w:line="300" w:lineRule="atLeast"/>
        <w:outlineLvl w:val="0"/>
        <w:rPr>
          <w:rFonts w:ascii="Georgia" w:eastAsia="Times New Roman" w:hAnsi="Georgia" w:cs="Times New Roman"/>
          <w:b/>
          <w:bCs/>
          <w:color w:val="333333"/>
          <w:kern w:val="36"/>
          <w:sz w:val="31"/>
          <w:szCs w:val="31"/>
          <w:lang w:eastAsia="ru-RU"/>
        </w:rPr>
      </w:pPr>
      <w:r w:rsidRPr="00E00A95">
        <w:rPr>
          <w:rFonts w:ascii="Georgia" w:eastAsia="Times New Roman" w:hAnsi="Georgia" w:cs="Times New Roman"/>
          <w:b/>
          <w:bCs/>
          <w:color w:val="333333"/>
          <w:kern w:val="36"/>
          <w:sz w:val="31"/>
          <w:szCs w:val="31"/>
          <w:lang w:eastAsia="ru-RU"/>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E00A95" w:rsidRPr="00E00A95" w:rsidRDefault="00E00A95" w:rsidP="00E00A95">
      <w:pPr>
        <w:shd w:val="clear" w:color="auto" w:fill="E3E3E3"/>
        <w:spacing w:before="100" w:beforeAutospacing="1" w:after="100" w:afterAutospacing="1" w:line="240" w:lineRule="atLeast"/>
        <w:jc w:val="both"/>
        <w:rPr>
          <w:rFonts w:ascii="Arial" w:eastAsia="Times New Roman" w:hAnsi="Arial" w:cs="Arial"/>
          <w:color w:val="333333"/>
          <w:sz w:val="20"/>
          <w:szCs w:val="20"/>
          <w:lang w:eastAsia="ru-RU"/>
        </w:rPr>
      </w:pPr>
      <w:r w:rsidRPr="00E00A95">
        <w:rPr>
          <w:rFonts w:ascii="Arial" w:eastAsia="Times New Roman" w:hAnsi="Arial" w:cs="Arial"/>
          <w:b/>
          <w:bCs/>
          <w:color w:val="333333"/>
          <w:sz w:val="20"/>
          <w:szCs w:val="20"/>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E00A95" w:rsidRPr="00E00A95" w:rsidRDefault="00E00A95" w:rsidP="00E00A95">
      <w:pPr>
        <w:shd w:val="clear" w:color="auto" w:fill="E3E3E3"/>
        <w:spacing w:before="100" w:beforeAutospacing="1" w:after="100" w:afterAutospacing="1" w:line="240" w:lineRule="atLeast"/>
        <w:jc w:val="both"/>
        <w:rPr>
          <w:rFonts w:ascii="Arial" w:eastAsia="Times New Roman" w:hAnsi="Arial" w:cs="Arial"/>
          <w:color w:val="333333"/>
          <w:sz w:val="20"/>
          <w:szCs w:val="20"/>
          <w:lang w:eastAsia="ru-RU"/>
        </w:rPr>
      </w:pPr>
      <w:r w:rsidRPr="00E00A95">
        <w:rPr>
          <w:rFonts w:ascii="Arial" w:eastAsia="Times New Roman" w:hAnsi="Arial" w:cs="Arial"/>
          <w:color w:val="333333"/>
          <w:sz w:val="20"/>
          <w:szCs w:val="20"/>
          <w:lang w:eastAsia="ru-RU"/>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xml:space="preserve">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w:t>
      </w:r>
      <w:r w:rsidRPr="00E00A95">
        <w:rPr>
          <w:rFonts w:ascii="Arial" w:eastAsia="Times New Roman" w:hAnsi="Arial" w:cs="Arial"/>
          <w:color w:val="333333"/>
          <w:sz w:val="20"/>
          <w:szCs w:val="20"/>
          <w:lang w:eastAsia="ru-RU"/>
        </w:rPr>
        <w:lastRenderedPageBreak/>
        <w:t>ответственности, «если оно активно способствовало раскрытию и (или) расследованию преступления».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xml:space="preserve">Мероприятия, включенные в комплекс мер, рекомендуется осуществлять по следующим </w:t>
      </w:r>
      <w:r w:rsidRPr="00E00A95">
        <w:rPr>
          <w:rFonts w:ascii="Arial" w:eastAsia="Times New Roman" w:hAnsi="Arial" w:cs="Arial"/>
          <w:color w:val="333333"/>
          <w:sz w:val="20"/>
          <w:szCs w:val="20"/>
          <w:lang w:eastAsia="ru-RU"/>
        </w:rPr>
        <w:lastRenderedPageBreak/>
        <w:t>направлениям:</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Основными задачами осуществления комплекса мер являются: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E00A95" w:rsidRPr="00E00A95" w:rsidRDefault="00E00A95" w:rsidP="00E00A95">
      <w:pPr>
        <w:shd w:val="clear" w:color="auto" w:fill="E3E3E3"/>
        <w:spacing w:before="100" w:beforeAutospacing="1" w:after="100" w:afterAutospacing="1" w:line="240" w:lineRule="atLeast"/>
        <w:jc w:val="both"/>
        <w:rPr>
          <w:rFonts w:ascii="Arial" w:eastAsia="Times New Roman" w:hAnsi="Arial" w:cs="Arial"/>
          <w:color w:val="333333"/>
          <w:sz w:val="20"/>
          <w:szCs w:val="20"/>
          <w:lang w:eastAsia="ru-RU"/>
        </w:rPr>
      </w:pPr>
      <w:r w:rsidRPr="00E00A95">
        <w:rPr>
          <w:rFonts w:ascii="Arial" w:eastAsia="Times New Roman" w:hAnsi="Arial" w:cs="Arial"/>
          <w:b/>
          <w:bCs/>
          <w:color w:val="333333"/>
          <w:sz w:val="20"/>
          <w:szCs w:val="20"/>
          <w:lang w:eastAsia="ru-RU"/>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00A95" w:rsidRPr="00E00A95" w:rsidRDefault="00E00A95" w:rsidP="00E00A95">
      <w:pPr>
        <w:shd w:val="clear" w:color="auto" w:fill="E3E3E3"/>
        <w:spacing w:before="100" w:beforeAutospacing="1" w:after="100" w:afterAutospacing="1" w:line="240" w:lineRule="atLeast"/>
        <w:jc w:val="both"/>
        <w:rPr>
          <w:rFonts w:ascii="Arial" w:eastAsia="Times New Roman" w:hAnsi="Arial" w:cs="Arial"/>
          <w:color w:val="333333"/>
          <w:sz w:val="20"/>
          <w:szCs w:val="20"/>
          <w:lang w:eastAsia="ru-RU"/>
        </w:rPr>
      </w:pPr>
      <w:r w:rsidRPr="00E00A95">
        <w:rPr>
          <w:rFonts w:ascii="Arial" w:eastAsia="Times New Roman" w:hAnsi="Arial" w:cs="Arial"/>
          <w:color w:val="333333"/>
          <w:sz w:val="20"/>
          <w:szCs w:val="20"/>
          <w:lang w:eastAsia="ru-RU"/>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Реализацию данного направления рекомендуется осуществлять посредством:</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проведения серии учебно-практических семинаров (тренингов); </w:t>
      </w:r>
      <w:r w:rsidRPr="00E00A95">
        <w:rPr>
          <w:rFonts w:ascii="Arial" w:eastAsia="Times New Roman" w:hAnsi="Arial" w:cs="Arial"/>
          <w:color w:val="333333"/>
          <w:sz w:val="20"/>
          <w:szCs w:val="20"/>
          <w:lang w:eastAsia="ru-RU"/>
        </w:rPr>
        <w:br/>
        <w:t>-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1.1. В рамках серии учебно-практических семинаров является целесообразным рассмотрение следующих вопросов.</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w:t>
      </w:r>
      <w:r w:rsidRPr="00E00A95">
        <w:rPr>
          <w:rFonts w:ascii="Arial" w:eastAsia="Times New Roman" w:hAnsi="Arial" w:cs="Arial"/>
          <w:color w:val="333333"/>
          <w:sz w:val="20"/>
          <w:szCs w:val="20"/>
          <w:lang w:eastAsia="ru-RU"/>
        </w:rPr>
        <w:lastRenderedPageBreak/>
        <w:t>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(пункт 15 Постановления Пленума ВС РФ № 6).</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6) Исторические материалы по вышеуказанным вопросам, изложенным в Своде законов Российской Империи (Том III).</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Так в частности предлагается подготовить памятки для служащих и работников по следующим вопросам:</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пункты 9, 11, 15 Постановления Пленума ВС РФ № 6.</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xml:space="preserve">Памятки представляется целесообразным сформулировать на основе типовых жизненных </w:t>
      </w:r>
      <w:r w:rsidRPr="00E00A95">
        <w:rPr>
          <w:rFonts w:ascii="Arial" w:eastAsia="Times New Roman" w:hAnsi="Arial" w:cs="Arial"/>
          <w:color w:val="333333"/>
          <w:sz w:val="20"/>
          <w:szCs w:val="20"/>
          <w:lang w:eastAsia="ru-RU"/>
        </w:rPr>
        <w:lastRenderedPageBreak/>
        <w:t>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части организации семинаров (бесед, лекций, практических занятий) необходимо рассмотреть следующие вопросы.</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1) Порядок уведомления служащего и работника о фактах склонения к совершению коррупционного правонарушения.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ходе семинара, требуется: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2) Порядок урегулирования конфликта интересов.</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ходе семинара, необходимо:</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xml:space="preserve">б) напомнить служащим и работникам, что письменное информирование представителя </w:t>
      </w:r>
      <w:r w:rsidRPr="00E00A95">
        <w:rPr>
          <w:rFonts w:ascii="Arial" w:eastAsia="Times New Roman" w:hAnsi="Arial" w:cs="Arial"/>
          <w:color w:val="333333"/>
          <w:sz w:val="20"/>
          <w:szCs w:val="20"/>
          <w:lang w:eastAsia="ru-RU"/>
        </w:rPr>
        <w:lastRenderedPageBreak/>
        <w:t>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обсудить со служащими и работниками типовые ситуации конфликта интересов и порядок уведомления о возникновении личной заинтересованности.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3) Действия и высказывания, которые могут быть восприняты окружающими как согласие принять взятку или как просьба о даче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ходе семинара, является целесообразным, в частности: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К числу таких тем относятся, например: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низкий уровень заработной платы служащего, работника и нехватка денежных средств на реализацию тех или иных нужд;</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желание приобрести то или иное имущество, получить ту или иную услугу, отправиться в туристическую поездку;</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отсутствие работы у родственников служащего, работника;</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необходимость поступления детей служащего, работника в образовательные учреждения и т.д.</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К числу таких предложений относятся, например предложения: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предоставить служащему, работнику и/или его родственникам скидку;</w:t>
      </w:r>
      <w:r w:rsidRPr="00E00A95">
        <w:rPr>
          <w:rFonts w:ascii="Arial" w:eastAsia="Times New Roman" w:hAnsi="Arial" w:cs="Arial"/>
          <w:color w:val="333333"/>
          <w:sz w:val="20"/>
          <w:szCs w:val="20"/>
          <w:lang w:eastAsia="ru-RU"/>
        </w:rPr>
        <w:b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r w:rsidRPr="00E00A95">
        <w:rPr>
          <w:rFonts w:ascii="Arial" w:eastAsia="Times New Roman" w:hAnsi="Arial" w:cs="Arial"/>
          <w:color w:val="333333"/>
          <w:sz w:val="20"/>
          <w:szCs w:val="20"/>
          <w:lang w:eastAsia="ru-RU"/>
        </w:rPr>
        <w:br/>
        <w:t>- внести деньги в конкретный благотворительный фонд;</w:t>
      </w:r>
      <w:r w:rsidRPr="00E00A95">
        <w:rPr>
          <w:rFonts w:ascii="Arial" w:eastAsia="Times New Roman" w:hAnsi="Arial" w:cs="Arial"/>
          <w:color w:val="333333"/>
          <w:sz w:val="20"/>
          <w:szCs w:val="20"/>
          <w:lang w:eastAsia="ru-RU"/>
        </w:rPr>
        <w:br/>
        <w:t>- поддержать конкретную спортивную команду и т.д.</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К числу таких действий относятся, например:</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регулярное получение подарков, даже (если речь идет не о государственном гражданском служащем) стоимостью менее 3000 рублей;</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 xml:space="preserve">посещения ресторанов совместно с представителями организации, которая извлекла, извлекает </w:t>
      </w:r>
      <w:r w:rsidRPr="00E00A95">
        <w:rPr>
          <w:rFonts w:ascii="Arial" w:eastAsia="Times New Roman" w:hAnsi="Arial" w:cs="Arial"/>
          <w:color w:val="333333"/>
          <w:sz w:val="20"/>
          <w:szCs w:val="20"/>
          <w:lang w:eastAsia="ru-RU"/>
        </w:rPr>
        <w:lastRenderedPageBreak/>
        <w:t>или может извлечь выгоду из решений или действий (бездействия) служащего или работника.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2) о типовых случаях конфликтов интересов и порядок их урегулирования;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расхадах,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положений локальных правовых актов.</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В связи с этим необходимо, в частности:</w:t>
      </w:r>
      <w:r w:rsidRPr="00E00A95">
        <w:rPr>
          <w:rFonts w:ascii="Arial" w:eastAsia="Times New Roman" w:hAnsi="Arial" w:cs="Arial"/>
          <w:color w:val="333333"/>
          <w:sz w:val="20"/>
          <w:szCs w:val="20"/>
          <w:lang w:eastAsia="ru-RU"/>
        </w:rPr>
        <w:br/>
        <w:t>- закрепить требования о конфиденциальности информации о личности заявителя;</w:t>
      </w:r>
      <w:r w:rsidRPr="00E00A95">
        <w:rPr>
          <w:rFonts w:ascii="Arial" w:eastAsia="Times New Roman" w:hAnsi="Arial" w:cs="Arial"/>
          <w:color w:val="333333"/>
          <w:sz w:val="20"/>
          <w:szCs w:val="20"/>
          <w:lang w:eastAsia="ru-RU"/>
        </w:rPr>
        <w:br/>
        <w:t>- установить режим доступа к журналу входящей корреспонденции, содержащему данные, позволяющие идентифицировать личность заявителя;</w:t>
      </w:r>
      <w:r w:rsidRPr="00E00A95">
        <w:rPr>
          <w:rFonts w:ascii="Arial" w:eastAsia="Times New Roman" w:hAnsi="Arial" w:cs="Arial"/>
          <w:color w:val="333333"/>
          <w:sz w:val="20"/>
          <w:szCs w:val="20"/>
          <w:lang w:eastAsia="ru-RU"/>
        </w:rPr>
        <w:br/>
        <w:t>- 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lastRenderedPageBreak/>
        <w:br/>
        <w:t>В число мер по реализации данного направления необходимо включить следующие.</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дача взятки должностному лицу наказывается лишением свободы.</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государственному служащему запрещается принимать подарки в связи с исполнением служебных обязанностей вне зависимости от стоимости подарка. </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r w:rsidRPr="00E00A95">
        <w:rPr>
          <w:rFonts w:ascii="Arial" w:eastAsia="Times New Roman" w:hAnsi="Arial" w:cs="Arial"/>
          <w:color w:val="333333"/>
          <w:sz w:val="20"/>
          <w:szCs w:val="20"/>
          <w:lang w:eastAsia="ru-RU"/>
        </w:rPr>
        <w:br/>
      </w:r>
      <w:r w:rsidRPr="00E00A95">
        <w:rPr>
          <w:rFonts w:ascii="Arial" w:eastAsia="Times New Roman" w:hAnsi="Arial" w:cs="Arial"/>
          <w:color w:val="333333"/>
          <w:sz w:val="20"/>
          <w:szCs w:val="20"/>
          <w:lang w:eastAsia="ru-RU"/>
        </w:rPr>
        <w:b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36028" w:rsidRDefault="00836028">
      <w:bookmarkStart w:id="0" w:name="_GoBack"/>
      <w:bookmarkEnd w:id="0"/>
    </w:p>
    <w:sectPr w:rsidR="00836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95"/>
    <w:rsid w:val="00836028"/>
    <w:rsid w:val="00E0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AEF2-5B25-4C8F-9D88-60582FA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3949</Words>
  <Characters>22511</Characters>
  <Application>Microsoft Office Word</Application>
  <DocSecurity>0</DocSecurity>
  <Lines>187</Lines>
  <Paragraphs>52</Paragraphs>
  <ScaleCrop>false</ScaleCrop>
  <Company/>
  <LinksUpToDate>false</LinksUpToDate>
  <CharactersWithSpaces>26408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dc:creator>
  <cp:keywords/>
  <dc:description/>
  <cp:lastModifiedBy>ОК</cp:lastModifiedBy>
  <cp:revision>2</cp:revision>
  <dcterms:created xsi:type="dcterms:W3CDTF">2013-11-27T06:38:00Z</dcterms:created>
  <dcterms:modified xsi:type="dcterms:W3CDTF">2013-11-27T06:40:00Z</dcterms:modified>
</cp:coreProperties>
</file>