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ackground w:color="ffffff">
    <v:background o:targetscreensize="1024,768">
      <v:fill type="solid" color="#ffffff" opacity="1.000000" color2="#ffffff" o:opacity2="1.000000" rotate="f" angle="0.000000" focusposition="0.000000,0.000000"/>
    </v:background>
  </w:background>
  <w:body>
    <w:p>
      <w:pPr>
        <w:pStyle w:val="Заголовок11"/>
        <w:tabs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</w:tabs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Информационное письмо №1</w:t>
      </w:r>
    </w:p>
    <w:p>
      <w:pPr>
        <w:pStyle w:val="Заголовок11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</w:tabs>
        <w:spacing w:line="240" w:lineRule="auto"/>
        <w:ind w:left="709"/>
        <w:jc w:val="center"/>
        <w:rPr>
          <w:rFonts w:ascii="Times New Roman" w:hAnsi="Times New Roman"/>
          <w:szCs w:val="28"/>
        </w:rPr>
      </w:pPr>
    </w:p>
    <w:p>
      <w:pPr>
        <w:pStyle w:val="Заголовок11"/>
        <w:tabs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</w:tabs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Общественная общероссийская организация</w:t>
      </w:r>
    </w:p>
    <w:p>
      <w:pPr>
        <w:pStyle w:val="Заголовок11"/>
        <w:tabs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</w:tabs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«Российское общество хирургов»</w:t>
      </w:r>
    </w:p>
    <w:p>
      <w:pPr>
        <w:pStyle w:val="Normal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эндокринных хирургов</w:t>
      </w:r>
    </w:p>
    <w:p>
      <w:pPr>
        <w:pStyle w:val="Normal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ФГБВОУ ВО «Военно-медицинская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кадемия им</w:t>
      </w:r>
      <w:r>
        <w:rPr>
          <w:rFonts w:ascii="Times New Roman" w:hAnsi="Times New Roman"/>
          <w:sz w:val="28"/>
          <w:szCs w:val="28"/>
        </w:rPr>
        <w:t>ени</w:t>
      </w:r>
      <w:r>
        <w:rPr>
          <w:rFonts w:ascii="Times New Roman" w:hAnsi="Times New Roman"/>
          <w:sz w:val="28"/>
          <w:szCs w:val="28"/>
        </w:rPr>
        <w:t xml:space="preserve"> С.М. Кирова» МО РФ, </w:t>
      </w:r>
      <w:r>
        <w:rPr>
          <w:rFonts w:ascii="Times New Roman" w:hAnsi="Times New Roman"/>
          <w:sz w:val="28"/>
          <w:szCs w:val="28"/>
        </w:rPr>
        <w:t>кафедра</w:t>
      </w:r>
      <w:r>
        <w:rPr>
          <w:rFonts w:ascii="Times New Roman" w:hAnsi="Times New Roman"/>
          <w:sz w:val="28"/>
          <w:szCs w:val="28"/>
        </w:rPr>
        <w:t xml:space="preserve"> факультетской хирургии им</w:t>
      </w:r>
      <w:r>
        <w:rPr>
          <w:rFonts w:ascii="Times New Roman" w:hAnsi="Times New Roman"/>
          <w:sz w:val="28"/>
          <w:szCs w:val="28"/>
        </w:rPr>
        <w:t>ени</w:t>
      </w:r>
      <w:r>
        <w:rPr>
          <w:rFonts w:ascii="Times New Roman" w:hAnsi="Times New Roman"/>
          <w:sz w:val="28"/>
          <w:szCs w:val="28"/>
        </w:rPr>
        <w:t xml:space="preserve"> С.П. Федорова</w:t>
      </w:r>
    </w:p>
    <w:p>
      <w:pPr>
        <w:pStyle w:val="Normal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>
      <w:pPr>
        <w:pStyle w:val="Normal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Вас принять участие в</w:t>
      </w:r>
      <w:r>
        <w:rPr>
          <w:rFonts w:ascii="Times New Roman" w:hAnsi="Times New Roman"/>
          <w:sz w:val="28"/>
          <w:szCs w:val="28"/>
        </w:rPr>
        <w:t>о Всероссийской научно-практической конференции «Инновационные технологии в хирургии и урологии», посвященной 150-летию со дня рождения С.П.Федорова.</w:t>
      </w:r>
      <w:r>
        <w:rPr>
          <w:rFonts w:ascii="Times New Roman" w:hAnsi="Times New Roman"/>
          <w:sz w:val="28"/>
          <w:szCs w:val="28"/>
        </w:rPr>
        <w:t xml:space="preserve"> 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планируется 7-8 февраля 2019 г. в Военно-медицинской академии в Санкт-Петербурге, будет включать в себя пленарные доклады и секционные доклады с теледемонстрацией инновац</w:t>
      </w:r>
      <w:r>
        <w:rPr>
          <w:rFonts w:ascii="Times New Roman" w:hAnsi="Times New Roman"/>
          <w:sz w:val="28"/>
          <w:szCs w:val="28"/>
        </w:rPr>
        <w:t>ионных хирургических технологий.</w:t>
      </w:r>
    </w:p>
    <w:p>
      <w:pPr>
        <w:pStyle w:val="Normal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</w:t>
      </w:r>
      <w:r>
        <w:rPr>
          <w:rFonts w:ascii="Times New Roman" w:hAnsi="Times New Roman"/>
          <w:sz w:val="28"/>
          <w:szCs w:val="28"/>
        </w:rPr>
        <w:t xml:space="preserve"> конференции:</w:t>
      </w:r>
    </w:p>
    <w:p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Хирургическое лечение желчнокаменной болезни и ее осложнений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Эндокринная хирургия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рниология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рология.</w:t>
      </w:r>
    </w:p>
    <w:p>
      <w:pPr>
        <w:pStyle w:val="Normal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конференции будут опубликованы в </w:t>
      </w:r>
      <w:r>
        <w:rPr>
          <w:rFonts w:ascii="Times New Roman" w:hAnsi="Times New Roman"/>
          <w:sz w:val="28"/>
          <w:szCs w:val="28"/>
        </w:rPr>
        <w:t>приложении к журналу Вестник Российской Военно-медицинской академии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Журнал входит в перечень ВАК, и научные труды будут зарегистрированы в РИНЦ.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Статьи </w:t>
      </w:r>
      <w:r>
        <w:rPr>
          <w:rFonts w:ascii="Times New Roman" w:hAnsi="Times New Roman"/>
          <w:b/>
          <w:sz w:val="28"/>
          <w:szCs w:val="28"/>
        </w:rPr>
        <w:t xml:space="preserve">необходимо отправить по электронной почте до 1 ноября 2018 г. по адресу: </w:t>
      </w:r>
      <w:r>
        <w:fldChar w:fldCharType="begin"/>
      </w:r>
      <w:r>
        <w:instrText xml:space="preserve">HYPERLINK "mailto:semvel-85@mail.ru"</w:instrText>
      </w:r>
      <w:r>
        <w:fldChar w:fldCharType="separate"/>
      </w:r>
      <w:r>
        <w:rPr>
          <w:rStyle w:val="Hyperlink"/>
          <w:rFonts w:ascii="Times New Roman" w:hAnsi="Times New Roman"/>
          <w:b/>
          <w:sz w:val="28"/>
          <w:szCs w:val="28"/>
          <w:lang w:val="en-US"/>
        </w:rPr>
        <w:t>semvel</w:t>
      </w:r>
      <w:r>
        <w:rPr>
          <w:rStyle w:val="Hyperlink"/>
          <w:rFonts w:ascii="Times New Roman" w:hAnsi="Times New Roman"/>
          <w:b/>
          <w:sz w:val="28"/>
          <w:szCs w:val="28"/>
        </w:rPr>
        <w:t>-85@</w:t>
      </w:r>
      <w:r>
        <w:rPr>
          <w:rStyle w:val="Hyperlink"/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Style w:val="Hyperlink"/>
          <w:rFonts w:ascii="Times New Roman" w:hAnsi="Times New Roman"/>
          <w:b/>
          <w:sz w:val="28"/>
          <w:szCs w:val="28"/>
        </w:rPr>
        <w:t>.</w:t>
      </w:r>
      <w:r>
        <w:rPr>
          <w:rStyle w:val="Hyperlink"/>
          <w:rFonts w:ascii="Times New Roman" w:hAnsi="Times New Roman"/>
          <w:b/>
          <w:sz w:val="28"/>
          <w:szCs w:val="28"/>
          <w:lang w:val="en-US"/>
        </w:rPr>
        <w:t>ru</w:t>
      </w:r>
      <w:r>
        <w:fldChar w:fldCharType="end"/>
      </w:r>
    </w:p>
    <w:p>
      <w:pPr>
        <w:pStyle w:val="Normal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</w:t>
      </w:r>
      <w:r>
        <w:rPr>
          <w:rFonts w:ascii="Times New Roman" w:hAnsi="Times New Roman"/>
          <w:sz w:val="28"/>
          <w:szCs w:val="28"/>
        </w:rPr>
        <w:t xml:space="preserve"> членов редколлегии сборника</w:t>
      </w:r>
      <w:r>
        <w:rPr>
          <w:rFonts w:ascii="Times New Roman" w:hAnsi="Times New Roman"/>
          <w:sz w:val="28"/>
          <w:szCs w:val="28"/>
        </w:rPr>
        <w:t xml:space="preserve"> научных трудов</w:t>
      </w:r>
      <w:r>
        <w:rPr>
          <w:rFonts w:ascii="Times New Roman" w:hAnsi="Times New Roman"/>
          <w:sz w:val="28"/>
          <w:szCs w:val="28"/>
        </w:rPr>
        <w:t xml:space="preserve">: +7-911-248-70-36 (профессор Курыгин Александр Анатольевич), </w:t>
      </w:r>
    </w:p>
    <w:p>
      <w:pPr>
        <w:pStyle w:val="Normal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+7-981-703-98-71 (к.м.н. Семенов Валерий Владимирович).</w:t>
      </w:r>
    </w:p>
    <w:p>
      <w:pPr>
        <w:pStyle w:val="Normal"/>
        <w:spacing w:after="0"/>
        <w:jc w:val="both"/>
        <w:rPr>
          <w:rFonts w:ascii="Times New Roman" w:hAnsi="Times New Roman"/>
          <w:sz w:val="28"/>
          <w:szCs w:val="28"/>
        </w:rPr>
      </w:pPr>
    </w:p>
    <w:p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ОФОРМЛЕНИЯ </w:t>
      </w:r>
    </w:p>
    <w:p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МАТЕРИАЛОВ КОНФЕРЕНЦИИ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до 5</w:t>
      </w:r>
      <w:r>
        <w:rPr>
          <w:sz w:val="28"/>
          <w:szCs w:val="28"/>
        </w:rPr>
        <w:t xml:space="preserve"> страниц формата А4, </w:t>
      </w:r>
      <w:r>
        <w:rPr>
          <w:sz w:val="28"/>
          <w:szCs w:val="28"/>
        </w:rPr>
        <w:t>текстово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Microsof</w:t>
      </w:r>
      <w:r>
        <w:rPr>
          <w:sz w:val="28"/>
          <w:szCs w:val="28"/>
        </w:rPr>
        <w:t>t Word,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>
        <w:rPr>
          <w:sz w:val="28"/>
          <w:szCs w:val="28"/>
        </w:rPr>
        <w:t>рифт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Times New Roman Cyr, кегль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>
        <w:rPr>
          <w:sz w:val="28"/>
          <w:szCs w:val="28"/>
        </w:rPr>
        <w:t>, межстрочн</w:t>
      </w:r>
      <w:r>
        <w:rPr>
          <w:sz w:val="28"/>
          <w:szCs w:val="28"/>
        </w:rPr>
        <w:t xml:space="preserve">ый интервал – </w:t>
      </w:r>
      <w:r>
        <w:rPr>
          <w:sz w:val="28"/>
          <w:szCs w:val="28"/>
        </w:rPr>
        <w:t>1,5. Отступ первой строки абзаца – 1,25 см. Поля – 2 см. Выравнивание текста – по ширине. От одного автора принимается не более двух научных работ.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статье</w:t>
      </w:r>
      <w:r>
        <w:rPr>
          <w:b/>
          <w:bCs/>
          <w:sz w:val="28"/>
          <w:szCs w:val="28"/>
        </w:rPr>
        <w:t xml:space="preserve"> должны быть представлены: </w:t>
      </w:r>
    </w:p>
    <w:p>
      <w:pPr>
        <w:pStyle w:val="Default"/>
        <w:numPr>
          <w:ilvl w:val="0"/>
          <w:numId w:val="2"/>
        </w:numPr>
        <w:tabs>
          <w:tab w:val="left" w:leader="none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УДК (</w:t>
      </w:r>
      <w:r>
        <w:rPr>
          <w:sz w:val="28"/>
          <w:szCs w:val="28"/>
        </w:rPr>
        <w:t>выравнивание по левому краю).</w:t>
      </w:r>
      <w:r>
        <w:rPr>
          <w:sz w:val="28"/>
          <w:szCs w:val="28"/>
        </w:rPr>
        <w:t xml:space="preserve"> </w:t>
      </w:r>
    </w:p>
    <w:p>
      <w:pPr>
        <w:pStyle w:val="Default"/>
        <w:numPr>
          <w:ilvl w:val="0"/>
          <w:numId w:val="2"/>
        </w:numPr>
        <w:tabs>
          <w:tab w:val="left" w:leader="none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азвание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(буквы </w:t>
      </w:r>
      <w:r>
        <w:rPr>
          <w:sz w:val="28"/>
          <w:szCs w:val="28"/>
        </w:rPr>
        <w:t>ЗАГЛАВНЫЕ</w:t>
      </w:r>
      <w:r>
        <w:rPr>
          <w:sz w:val="28"/>
          <w:szCs w:val="28"/>
        </w:rPr>
        <w:t xml:space="preserve">, шрифт жирный, </w:t>
      </w:r>
      <w:r>
        <w:rPr>
          <w:sz w:val="28"/>
          <w:szCs w:val="28"/>
        </w:rPr>
        <w:t xml:space="preserve">межстрочный интервал одинарный, </w:t>
      </w:r>
      <w:r>
        <w:rPr>
          <w:sz w:val="28"/>
          <w:szCs w:val="28"/>
        </w:rPr>
        <w:t>выравнивание по центру).</w:t>
      </w:r>
      <w:r>
        <w:rPr>
          <w:sz w:val="28"/>
          <w:szCs w:val="28"/>
        </w:rPr>
        <w:t xml:space="preserve"> </w:t>
      </w:r>
    </w:p>
    <w:p>
      <w:pPr>
        <w:pStyle w:val="Default"/>
        <w:numPr>
          <w:ilvl w:val="0"/>
          <w:numId w:val="2"/>
        </w:numPr>
        <w:tabs>
          <w:tab w:val="left" w:leader="none" w:pos="851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Ф</w:t>
      </w:r>
      <w:r>
        <w:rPr>
          <w:sz w:val="28"/>
          <w:szCs w:val="28"/>
        </w:rPr>
        <w:t>амили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и инициалы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авторов (</w:t>
      </w:r>
      <w:r>
        <w:rPr>
          <w:sz w:val="28"/>
          <w:szCs w:val="28"/>
        </w:rPr>
        <w:t>буквы строчные,</w:t>
      </w:r>
      <w:r>
        <w:rPr>
          <w:sz w:val="28"/>
          <w:szCs w:val="28"/>
        </w:rPr>
        <w:t xml:space="preserve"> шрифт</w:t>
      </w:r>
      <w:r>
        <w:rPr>
          <w:sz w:val="28"/>
          <w:szCs w:val="28"/>
        </w:rPr>
        <w:t xml:space="preserve"> обычный,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выравнивание </w:t>
      </w:r>
      <w:r>
        <w:rPr>
          <w:sz w:val="28"/>
          <w:szCs w:val="28"/>
        </w:rPr>
        <w:t>по центру)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Каждая фамилия обозначается номером 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верх</w:t>
      </w:r>
      <w:r>
        <w:rPr>
          <w:b/>
          <w:sz w:val="28"/>
          <w:szCs w:val="28"/>
        </w:rPr>
        <w:t>нем регистре (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 и такой же номер ставится перед названием учреждения, где работает автор</w:t>
      </w:r>
      <w:r>
        <w:rPr>
          <w:b/>
          <w:sz w:val="28"/>
          <w:szCs w:val="28"/>
        </w:rPr>
        <w:t xml:space="preserve"> даже если</w:t>
      </w:r>
      <w:r>
        <w:rPr>
          <w:b/>
          <w:sz w:val="28"/>
          <w:szCs w:val="28"/>
        </w:rPr>
        <w:t xml:space="preserve"> автор статьи один или все авторы работают в одном учреждении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Для сотрудников ВМедА после номера организации в скобках указывается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SPIN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код автора 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РИНЦ (</w:t>
      </w: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elibrary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>
      <w:pPr>
        <w:pStyle w:val="Default"/>
        <w:numPr>
          <w:ilvl w:val="0"/>
          <w:numId w:val="2"/>
        </w:numPr>
        <w:tabs>
          <w:tab w:val="left" w:leader="none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 xml:space="preserve">учреждения, из которого исходит работа </w:t>
      </w:r>
      <w:r>
        <w:rPr>
          <w:sz w:val="28"/>
          <w:szCs w:val="28"/>
        </w:rPr>
        <w:t>(</w:t>
      </w:r>
      <w:r>
        <w:rPr>
          <w:sz w:val="28"/>
          <w:szCs w:val="28"/>
        </w:rPr>
        <w:t>буквы строчные,</w:t>
      </w:r>
      <w:r>
        <w:rPr>
          <w:sz w:val="28"/>
          <w:szCs w:val="28"/>
        </w:rPr>
        <w:t xml:space="preserve"> шрифт</w:t>
      </w:r>
      <w:r>
        <w:rPr>
          <w:sz w:val="28"/>
          <w:szCs w:val="28"/>
        </w:rPr>
        <w:t xml:space="preserve"> обычный, печатать с табуляцией по ширине</w:t>
      </w:r>
      <w:r>
        <w:rPr>
          <w:sz w:val="28"/>
          <w:szCs w:val="28"/>
        </w:rPr>
        <w:t>, названия двух и более учреждений печатать через одинарный межстрочный интервал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. После названия учреждения указываются адрес </w:t>
      </w:r>
      <w:r>
        <w:rPr>
          <w:sz w:val="28"/>
          <w:szCs w:val="28"/>
        </w:rPr>
        <w:t>его местонахождения</w:t>
      </w:r>
      <w:r>
        <w:rPr>
          <w:sz w:val="28"/>
          <w:szCs w:val="28"/>
        </w:rPr>
        <w:t>, город и страна</w:t>
      </w:r>
      <w:r>
        <w:rPr>
          <w:sz w:val="28"/>
          <w:szCs w:val="28"/>
        </w:rPr>
        <w:t>.</w:t>
      </w:r>
    </w:p>
    <w:p>
      <w:pPr>
        <w:pStyle w:val="Default"/>
        <w:numPr>
          <w:ilvl w:val="0"/>
          <w:numId w:val="2"/>
        </w:numPr>
        <w:tabs>
          <w:tab w:val="left" w:leader="none" w:pos="993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Резюме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200-250</w:t>
      </w:r>
      <w:r>
        <w:rPr>
          <w:sz w:val="28"/>
          <w:szCs w:val="28"/>
        </w:rPr>
        <w:t xml:space="preserve"> слов, </w:t>
      </w:r>
      <w:r>
        <w:rPr>
          <w:sz w:val="28"/>
          <w:szCs w:val="28"/>
        </w:rPr>
        <w:t>шрифт</w:t>
      </w:r>
      <w:r>
        <w:rPr>
          <w:sz w:val="28"/>
          <w:szCs w:val="28"/>
        </w:rPr>
        <w:t xml:space="preserve"> обычный,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выравнивание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ширине</w:t>
      </w:r>
      <w:r>
        <w:rPr>
          <w:sz w:val="28"/>
          <w:szCs w:val="28"/>
        </w:rPr>
        <w:t>).</w:t>
      </w:r>
      <w:r>
        <w:rPr>
          <w:sz w:val="28"/>
          <w:szCs w:val="28"/>
        </w:rPr>
        <w:t xml:space="preserve"> Резюме </w:t>
      </w:r>
      <w:r>
        <w:rPr>
          <w:sz w:val="28"/>
          <w:szCs w:val="28"/>
        </w:rPr>
        <w:t>должно включать</w:t>
      </w:r>
      <w:r>
        <w:rPr>
          <w:sz w:val="28"/>
          <w:szCs w:val="28"/>
        </w:rPr>
        <w:t xml:space="preserve"> в себя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содержание </w:t>
      </w:r>
      <w:r>
        <w:rPr>
          <w:b/>
          <w:sz w:val="28"/>
          <w:szCs w:val="28"/>
        </w:rPr>
        <w:t>актуальности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темы</w:t>
      </w:r>
      <w:r>
        <w:rPr>
          <w:b/>
          <w:sz w:val="28"/>
          <w:szCs w:val="28"/>
        </w:rPr>
        <w:t>, цель</w:t>
      </w:r>
      <w:r>
        <w:rPr>
          <w:b/>
          <w:sz w:val="28"/>
          <w:szCs w:val="28"/>
        </w:rPr>
        <w:t xml:space="preserve"> работы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используемые </w:t>
      </w:r>
      <w:r>
        <w:rPr>
          <w:b/>
          <w:sz w:val="28"/>
          <w:szCs w:val="28"/>
        </w:rPr>
        <w:t>материал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и методы, </w:t>
      </w:r>
      <w:r>
        <w:rPr>
          <w:b/>
          <w:sz w:val="28"/>
          <w:szCs w:val="28"/>
        </w:rPr>
        <w:t xml:space="preserve">полученные </w:t>
      </w:r>
      <w:r>
        <w:rPr>
          <w:b/>
          <w:sz w:val="28"/>
          <w:szCs w:val="28"/>
        </w:rPr>
        <w:t>результаты, краткие выводы.</w:t>
      </w:r>
    </w:p>
    <w:p>
      <w:pPr>
        <w:pStyle w:val="Default"/>
        <w:numPr>
          <w:ilvl w:val="0"/>
          <w:numId w:val="2"/>
        </w:numPr>
        <w:tabs>
          <w:tab w:val="left" w:leader="none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 (</w:t>
      </w:r>
      <w:r>
        <w:rPr>
          <w:sz w:val="28"/>
          <w:szCs w:val="28"/>
        </w:rPr>
        <w:t>8-10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должны </w:t>
      </w:r>
      <w:r>
        <w:rPr>
          <w:sz w:val="28"/>
          <w:szCs w:val="28"/>
        </w:rPr>
        <w:t xml:space="preserve">наиболее полно </w:t>
      </w:r>
      <w:r>
        <w:rPr>
          <w:sz w:val="28"/>
          <w:szCs w:val="28"/>
        </w:rPr>
        <w:t>отражать основное содержание работы для возможности ее последующего поиска в реферативных базах данных (</w:t>
      </w:r>
      <w:r>
        <w:rPr>
          <w:sz w:val="28"/>
          <w:szCs w:val="28"/>
          <w:lang w:val="en-US"/>
        </w:rPr>
        <w:t>pubmed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>
      <w:pPr>
        <w:pStyle w:val="Default"/>
        <w:numPr>
          <w:ilvl w:val="0"/>
          <w:numId w:val="2"/>
        </w:numPr>
        <w:tabs>
          <w:tab w:val="left" w:leader="none" w:pos="993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Пункты 2</w:t>
      </w:r>
      <w:r>
        <w:rPr>
          <w:b/>
          <w:sz w:val="28"/>
          <w:szCs w:val="28"/>
        </w:rPr>
        <w:t>-6 на английском языке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выбора ключевых слов на английском следует использовать тезаурус Национальной медицинской библиотеки США - Medical Subject Headings (MeSH)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https://www.ncbi.nlm.nih.gov/mesh</w:t>
      </w:r>
    </w:p>
    <w:p>
      <w:pPr>
        <w:pStyle w:val="Default"/>
        <w:numPr>
          <w:ilvl w:val="0"/>
          <w:numId w:val="2"/>
        </w:numPr>
        <w:tabs>
          <w:tab w:val="left" w:leader="none" w:pos="993"/>
        </w:tabs>
        <w:ind w:left="0" w:firstLine="567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Текст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должен содержать следующие разделы</w:t>
      </w:r>
      <w:r>
        <w:rPr>
          <w:sz w:val="28"/>
          <w:szCs w:val="28"/>
        </w:rPr>
        <w:t>: введение, цель, материал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и методы исследования, результаты и их обсуждение, заключение или выводы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опускаются таблицы, рисунки, формулы</w:t>
      </w:r>
      <w:r>
        <w:rPr>
          <w:sz w:val="28"/>
          <w:szCs w:val="28"/>
        </w:rPr>
        <w:t xml:space="preserve">. Разделы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начинаются </w:t>
      </w:r>
      <w:r>
        <w:rPr>
          <w:bCs/>
          <w:color w:val="auto"/>
          <w:sz w:val="28"/>
          <w:szCs w:val="28"/>
        </w:rPr>
        <w:t>с красной строки, шрифт обычный, выравнивание по ширине</w:t>
      </w:r>
      <w:r>
        <w:rPr>
          <w:bCs/>
          <w:color w:val="auto"/>
          <w:sz w:val="28"/>
          <w:szCs w:val="28"/>
        </w:rPr>
        <w:t>.</w:t>
      </w:r>
      <w:r>
        <w:rPr>
          <w:bCs/>
          <w:color w:val="auto"/>
          <w:sz w:val="28"/>
          <w:szCs w:val="28"/>
        </w:rPr>
        <w:t xml:space="preserve"> Допускается наличие раздела «Благодарности» для выражения признательности коллегам за помощь или благодарности за финансовую поддержку исследования.</w:t>
      </w:r>
    </w:p>
    <w:p>
      <w:pPr>
        <w:pStyle w:val="Default"/>
        <w:numPr>
          <w:ilvl w:val="0"/>
          <w:numId w:val="2"/>
        </w:numPr>
        <w:tabs>
          <w:tab w:val="left" w:leader="none" w:pos="993"/>
        </w:tabs>
        <w:ind w:left="0" w:firstLine="567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цитируем</w:t>
      </w:r>
      <w:r>
        <w:rPr>
          <w:sz w:val="28"/>
          <w:szCs w:val="28"/>
        </w:rPr>
        <w:t>ых источников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не менее 7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2-х вариантах</w:t>
      </w:r>
      <w:r>
        <w:rPr>
          <w:sz w:val="28"/>
          <w:szCs w:val="28"/>
        </w:rPr>
        <w:t xml:space="preserve">: на языке оригинала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писок </w:t>
      </w:r>
      <w:r>
        <w:rPr>
          <w:b/>
          <w:sz w:val="28"/>
          <w:szCs w:val="28"/>
        </w:rPr>
        <w:t>источников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отдельным блоком тот же список (</w:t>
      </w:r>
      <w:r>
        <w:rPr>
          <w:b/>
          <w:bCs/>
          <w:sz w:val="28"/>
          <w:szCs w:val="28"/>
        </w:rPr>
        <w:t>Referen</w:t>
      </w:r>
      <w:r>
        <w:rPr>
          <w:b/>
          <w:bCs/>
          <w:sz w:val="28"/>
          <w:szCs w:val="28"/>
          <w:lang w:val="en-US"/>
        </w:rPr>
        <w:t>s</w:t>
      </w:r>
      <w:r>
        <w:rPr>
          <w:b/>
          <w:bCs/>
          <w:sz w:val="28"/>
          <w:szCs w:val="28"/>
        </w:rPr>
        <w:t>es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с транслитерацией каждого источника на английский язык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что обеспечит в дальнейшем индексирование в международных базах данных</w:t>
      </w:r>
      <w:r>
        <w:rPr>
          <w:sz w:val="28"/>
          <w:szCs w:val="28"/>
        </w:rPr>
        <w:t>.</w:t>
      </w:r>
    </w:p>
    <w:p>
      <w:pPr>
        <w:pStyle w:val="Default"/>
        <w:tabs>
          <w:tab w:val="left" w:leader="none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писок </w:t>
      </w:r>
      <w:r>
        <w:rPr>
          <w:b/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</w:t>
      </w:r>
      <w:r>
        <w:rPr>
          <w:sz w:val="28"/>
          <w:szCs w:val="28"/>
        </w:rPr>
        <w:t xml:space="preserve">по </w:t>
      </w:r>
      <w:r>
        <w:fldChar w:fldCharType="begin"/>
      </w:r>
      <w:r>
        <w:instrText xml:space="preserve"> HYPERLINK "http://protect.gost.ru/document.aspx?control=7&amp;id=173511" \t "_blank" </w:instrText>
      </w:r>
      <w:r>
        <w:fldChar w:fldCharType="separate"/>
      </w:r>
      <w:r>
        <w:rPr>
          <w:rFonts w:eastAsia="Calibri"/>
          <w:b/>
          <w:color w:val="548dd4"/>
          <w:sz w:val="28"/>
          <w:szCs w:val="28"/>
          <w:shd w:val="clear" w:color="auto" w:fill="ffffff"/>
          <w:lang w:eastAsia="en-US"/>
        </w:rPr>
        <w:t>ГОСТ Р 7.0.5-2008</w:t>
      </w:r>
      <w:r>
        <w:fldChar w:fldCharType="end"/>
      </w:r>
      <w:r>
        <w:rPr>
          <w:rFonts w:ascii="Arial" w:cs="Arial" w:eastAsia="Calibri" w:hAnsi="Arial"/>
          <w:b/>
          <w:color w:val="666666"/>
          <w:sz w:val="26"/>
          <w:szCs w:val="26"/>
          <w:shd w:val="clear" w:color="auto" w:fill="ffffff"/>
          <w:lang w:eastAsia="en-US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Referenses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оформляются</w:t>
      </w:r>
      <w:r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формате </w:t>
      </w:r>
      <w:r>
        <w:rPr>
          <w:b/>
          <w:sz w:val="28"/>
          <w:szCs w:val="28"/>
          <w:lang w:val="en-US"/>
        </w:rPr>
        <w:t>AMA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русскоязычного </w:t>
      </w:r>
      <w:r>
        <w:rPr>
          <w:sz w:val="28"/>
          <w:szCs w:val="28"/>
        </w:rPr>
        <w:t>источника есть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официальный перевод названия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Referenses использу</w:t>
      </w:r>
      <w:r>
        <w:rPr>
          <w:sz w:val="28"/>
          <w:szCs w:val="28"/>
        </w:rPr>
        <w:t>ется он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сли перевода нет, </w:t>
      </w:r>
      <w:r>
        <w:rPr>
          <w:sz w:val="28"/>
          <w:szCs w:val="28"/>
        </w:rPr>
        <w:t>приводится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транслитераци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ссылки</w:t>
      </w:r>
      <w:r>
        <w:rPr>
          <w:sz w:val="28"/>
          <w:szCs w:val="28"/>
        </w:rPr>
        <w:t xml:space="preserve">. При транслитерации </w:t>
      </w:r>
      <w:r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использовать стандарт BSI (British Standard Institute, UK). Для </w:t>
      </w:r>
      <w:r>
        <w:rPr>
          <w:sz w:val="28"/>
          <w:szCs w:val="28"/>
        </w:rPr>
        <w:t>этого</w:t>
      </w:r>
      <w:r>
        <w:rPr>
          <w:sz w:val="28"/>
          <w:szCs w:val="28"/>
        </w:rPr>
        <w:t xml:space="preserve"> можно воспользоваться ссылкой </w:t>
      </w:r>
      <w:r>
        <w:fldChar w:fldCharType="begin"/>
      </w:r>
      <w:r>
        <w:instrText xml:space="preserve"> HYPERLINK "http://ru.translit.ru/?account=bsi" </w:instrText>
      </w:r>
      <w:r>
        <w:fldChar w:fldCharType="separate"/>
      </w:r>
      <w:r>
        <w:rPr>
          <w:rStyle w:val="Hyperlink"/>
          <w:sz w:val="28"/>
          <w:szCs w:val="28"/>
        </w:rPr>
        <w:t>http://ru.translit.ru/?account=bsi</w:t>
      </w:r>
      <w:r>
        <w:fldChar w:fldCharType="end"/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ссылки указывается язык оригинала </w:t>
      </w:r>
      <w:r>
        <w:rPr>
          <w:sz w:val="28"/>
          <w:szCs w:val="28"/>
        </w:rPr>
        <w:t>(in Russ.</w:t>
      </w:r>
      <w:r>
        <w:rPr>
          <w:sz w:val="28"/>
          <w:szCs w:val="28"/>
        </w:rPr>
        <w:t xml:space="preserve">). </w:t>
      </w:r>
    </w:p>
    <w:p>
      <w:pPr>
        <w:pStyle w:val="Default"/>
        <w:numPr>
          <w:ilvl w:val="0"/>
          <w:numId w:val="2"/>
        </w:numPr>
        <w:tabs>
          <w:tab w:val="left" w:leader="none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Названия периодических изданий должны быть приведены в сокращенной форме. Эта форма написания оформляется в соответствии с ГОСТ Р 7.0.12-2011 «Библиографическая запись. Сокращение слов и словосочетаний на русском языке». </w:t>
      </w:r>
    </w:p>
    <w:p>
      <w:pPr>
        <w:pStyle w:val="Default"/>
        <w:numPr>
          <w:ilvl w:val="0"/>
          <w:numId w:val="2"/>
        </w:numPr>
        <w:tabs>
          <w:tab w:val="left" w:leader="none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всех случаях, когда у цитируемого материала есть цифро</w:t>
      </w:r>
      <w:r>
        <w:rPr>
          <w:sz w:val="28"/>
          <w:szCs w:val="28"/>
        </w:rPr>
        <w:t xml:space="preserve">вой идентификатор (Digital Object Identifier - DOI), его необходимо указывать в самом конце библиографической ссылки. Проверять наличие doi статьи следует на сайте http://search.crossref.org/ или https://www.citethisforme.com. Для получения DOI нужно ввести в поисковую строку название статьи на английском языке. </w:t>
      </w:r>
      <w:r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сайт, помимо DOI, автоматически генерирует правильно оформленное библиографическое описание статьи на английском языке в стиле цитирования AMA. </w:t>
      </w:r>
    </w:p>
    <w:p>
      <w:pPr>
        <w:pStyle w:val="Default"/>
        <w:tabs>
          <w:tab w:val="left" w:leader="none" w:pos="993"/>
        </w:tabs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Пример:  </w:t>
      </w:r>
    </w:p>
    <w:p>
      <w:pPr>
        <w:pStyle w:val="Default"/>
        <w:tabs>
          <w:tab w:val="left" w:leader="none" w:pos="993"/>
        </w:tabs>
        <w:ind w:left="142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Zhang M, Holman CD, Price SD. Comorbidity and repeat admission to hospital for adverse drug reactions in older adults: retrospective cohort study. </w:t>
      </w:r>
      <w:r>
        <w:rPr>
          <w:i/>
          <w:sz w:val="28"/>
          <w:szCs w:val="28"/>
        </w:rPr>
        <w:t xml:space="preserve">The New England Journal of Medicine. 2009;338:a2752. </w:t>
      </w:r>
      <w:r>
        <w:rPr>
          <w:b/>
          <w:i/>
          <w:sz w:val="28"/>
          <w:szCs w:val="28"/>
        </w:rPr>
        <w:t>doi: 10.1136/bmj.a2752</w:t>
      </w:r>
    </w:p>
    <w:p>
      <w:pPr>
        <w:pStyle w:val="Default"/>
        <w:tabs>
          <w:tab w:val="left" w:leader="none" w:pos="993"/>
        </w:tabs>
        <w:ind w:left="142"/>
        <w:jc w:val="both"/>
        <w:rPr>
          <w:sz w:val="28"/>
          <w:szCs w:val="28"/>
          <w:lang w:val="en-US"/>
        </w:rPr>
      </w:pPr>
    </w:p>
    <w:p>
      <w:pPr>
        <w:pStyle w:val="Default"/>
        <w:tabs>
          <w:tab w:val="left" w:leader="none" w:pos="993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Примеры оформления источников литературы</w:t>
      </w:r>
      <w:r>
        <w:rPr>
          <w:sz w:val="28"/>
          <w:szCs w:val="28"/>
          <w:lang w:val="en-US"/>
        </w:rPr>
        <w:t>:</w:t>
      </w:r>
    </w:p>
    <w:tbl>
      <w:tblPr>
        <w:tblW w:w="0" w:type="auto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728"/>
        <w:gridCol w:w="4850"/>
        <w:gridCol w:w="3865"/>
      </w:tblGrid>
      <w:tr>
        <w:trPr>
          <w:trHeight w:val="321" w:hRule="atLeast"/>
        </w:trPr>
        <w:tc>
          <w:tcPr>
            <w:cnfStyle w:val="101000000000"/>
            <w:tcW w:w="1526" w:type="dxa"/>
            <w:shd w:val="clear"/>
          </w:tcPr>
          <w:p>
            <w:pPr>
              <w:pStyle w:val="Default"/>
              <w:tabs>
                <w:tab w:val="left" w:leader="none" w:pos="993"/>
              </w:tabs>
              <w:jc w:val="center"/>
              <w:rPr/>
            </w:pPr>
            <w:r>
              <w:t>Тип</w:t>
            </w:r>
          </w:p>
        </w:tc>
        <w:tc>
          <w:tcPr>
            <w:cnfStyle w:val="100000000000"/>
            <w:tcW w:w="3969" w:type="dxa"/>
            <w:shd w:val="clear"/>
          </w:tcPr>
          <w:p>
            <w:pPr>
              <w:pStyle w:val="Default"/>
              <w:tabs>
                <w:tab w:val="left" w:leader="none" w:pos="993"/>
              </w:tabs>
              <w:jc w:val="center"/>
              <w:rPr/>
            </w:pPr>
            <w:r>
              <w:t>Список литературы</w:t>
            </w:r>
          </w:p>
        </w:tc>
        <w:tc>
          <w:tcPr>
            <w:cnfStyle w:val="100000000000"/>
            <w:tcW w:w="3934" w:type="dxa"/>
            <w:shd w:val="clear"/>
          </w:tcPr>
          <w:p>
            <w:pPr>
              <w:pStyle w:val="Default"/>
              <w:tabs>
                <w:tab w:val="left" w:leader="none" w:pos="99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Referenses</w:t>
            </w:r>
          </w:p>
        </w:tc>
      </w:tr>
      <w:tr>
        <w:trPr/>
        <w:tc>
          <w:tcPr>
            <w:cnfStyle w:val="001000100000"/>
            <w:tcW w:w="1526" w:type="dxa"/>
            <w:shd w:val="clear"/>
            <w:vAlign w:val="center"/>
          </w:tcPr>
          <w:p>
            <w:pPr>
              <w:pStyle w:val="Default"/>
              <w:tabs>
                <w:tab w:val="left" w:leader="none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cnfStyle w:val="000000100000"/>
            <w:tcW w:w="3969" w:type="dxa"/>
            <w:shd w:val="clear"/>
            <w:vAlign w:val="center"/>
          </w:tcPr>
          <w:p>
            <w:pPr>
              <w:pStyle w:val="Default"/>
              <w:tabs>
                <w:tab w:val="left" w:leader="none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В.В., Скугареувский Д.А., Титаев К.Д. Проблемы и перспективы исследований на основе Big Data (на примере социологии права) // Социологические исследования. 2016. № 1. С. 48—58.</w:t>
            </w:r>
          </w:p>
        </w:tc>
        <w:tc>
          <w:tcPr>
            <w:cnfStyle w:val="000000100000"/>
            <w:tcW w:w="3934" w:type="dxa"/>
            <w:shd w:val="clear"/>
            <w:vAlign w:val="center"/>
          </w:tcPr>
          <w:p>
            <w:pPr>
              <w:pStyle w:val="таблиц"/>
              <w:rPr/>
            </w:pPr>
            <w:r>
              <w:t>Volkov VV, Skugareuvskii DA, Titaev KD. Problems and prospects for the study based on Big Data (on the example of sociology of law). Sotsiologicheskie issledovaniya. 2016;(1):48—58 (In Russ)</w:t>
            </w:r>
          </w:p>
        </w:tc>
      </w:tr>
      <w:tr>
        <w:trPr/>
        <w:tc>
          <w:tcPr>
            <w:cnfStyle w:val="001000010000"/>
            <w:tcW w:w="1526" w:type="dxa"/>
            <w:shd w:val="clear"/>
            <w:vAlign w:val="center"/>
          </w:tcPr>
          <w:p>
            <w:pPr>
              <w:pStyle w:val="Default"/>
              <w:tabs>
                <w:tab w:val="left" w:leader="none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</w:t>
            </w:r>
          </w:p>
          <w:p>
            <w:pPr>
              <w:pStyle w:val="Default"/>
              <w:tabs>
                <w:tab w:val="left" w:leader="none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cnfStyle w:val="000000010000"/>
            <w:tcW w:w="3969" w:type="dxa"/>
            <w:shd w:val="clear"/>
            <w:vAlign w:val="center"/>
          </w:tcPr>
          <w:p>
            <w:pPr>
              <w:pStyle w:val="таблиц"/>
              <w:rPr/>
            </w:pPr>
            <w:r>
              <w:t>Волков В.В., Скугареувский Д.А., Титаев К.Д. Проблемы и перспективы исследований на основе Big Data (на примере социологии права) // Социологические исследования. 2016. № 1. С. 48—58. Режим доступа: http://socis.isras.ru/files/File/2016/2016_1/48_58_Volkov.pdfhttp://socis.isras.ru/files/File/2016/2016_1/48_58_Volkov.pdf Дата обращения: 16.05.2016.</w:t>
            </w:r>
          </w:p>
        </w:tc>
        <w:tc>
          <w:tcPr>
            <w:cnfStyle w:val="000000010000"/>
            <w:tcW w:w="3934" w:type="dxa"/>
            <w:shd w:val="clear"/>
            <w:vAlign w:val="center"/>
          </w:tcPr>
          <w:p>
            <w:pPr>
              <w:pStyle w:val="таблиц"/>
              <w:rPr/>
            </w:pPr>
            <w:r>
              <w:t>Volkov VV, Skugareuvskii DA, Titaev KD. Problems and prospects for the study based on Big Data (on the example of sociology of law). Sotsiologicheskie issledovaniya. 2016;(1):48—58. Available from: http://socis.isras.ru/files/File/2016/2016_1/48_58_Volkov.pdf [Accessed 16 May 2016]. (In Russ)</w:t>
            </w:r>
          </w:p>
        </w:tc>
      </w:tr>
      <w:tr>
        <w:trPr/>
        <w:tc>
          <w:tcPr>
            <w:cnfStyle w:val="001000100000"/>
            <w:tcW w:w="1526" w:type="dxa"/>
            <w:shd w:val="clear"/>
            <w:vAlign w:val="center"/>
          </w:tcPr>
          <w:p>
            <w:pPr>
              <w:pStyle w:val="Default"/>
              <w:tabs>
                <w:tab w:val="left" w:leader="none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Англоязычная статья</w:t>
            </w:r>
          </w:p>
        </w:tc>
        <w:tc>
          <w:tcPr>
            <w:cnfStyle w:val="000000100000"/>
            <w:tcW w:w="3969" w:type="dxa"/>
            <w:shd w:val="clear"/>
            <w:vAlign w:val="center"/>
          </w:tcPr>
          <w:p>
            <w:pPr>
              <w:pStyle w:val="Default"/>
              <w:tabs>
                <w:tab w:val="left" w:leader="none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Bernstein H. Some reflections on agrarian change in China // Journal of Agrarian Change. </w:t>
            </w:r>
            <w:r>
              <w:rPr>
                <w:sz w:val="20"/>
                <w:szCs w:val="20"/>
              </w:rPr>
              <w:t>2015. Vol. 15. № 2. Р. 454—477.</w:t>
            </w:r>
          </w:p>
        </w:tc>
        <w:tc>
          <w:tcPr>
            <w:cnfStyle w:val="000000100000"/>
            <w:tcW w:w="3934" w:type="dxa"/>
            <w:shd w:val="clear"/>
            <w:vAlign w:val="center"/>
          </w:tcPr>
          <w:p>
            <w:pPr>
              <w:pStyle w:val="Default"/>
              <w:tabs>
                <w:tab w:val="left" w:leader="none" w:pos="993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Bernstein H. Some reflections on agrarian change in China. Journal of Agrarian Change. 2015;15(2):454—477.</w:t>
            </w:r>
          </w:p>
        </w:tc>
      </w:tr>
      <w:tr>
        <w:trPr/>
        <w:tc>
          <w:tcPr>
            <w:cnfStyle w:val="001000010000"/>
            <w:tcW w:w="1526" w:type="dxa"/>
            <w:shd w:val="clear"/>
            <w:vAlign w:val="center"/>
          </w:tcPr>
          <w:p>
            <w:pPr>
              <w:pStyle w:val="Default"/>
              <w:tabs>
                <w:tab w:val="left" w:leader="none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</w:t>
            </w:r>
          </w:p>
        </w:tc>
        <w:tc>
          <w:tcPr>
            <w:cnfStyle w:val="000000010000"/>
            <w:tcW w:w="3969" w:type="dxa"/>
            <w:shd w:val="clear"/>
            <w:vAlign w:val="center"/>
          </w:tcPr>
          <w:p>
            <w:pPr>
              <w:pStyle w:val="Default"/>
              <w:tabs>
                <w:tab w:val="left" w:leader="none" w:pos="993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Кашанина Т.В. Корпоративное право. </w:t>
            </w:r>
            <w:r>
              <w:rPr>
                <w:sz w:val="20"/>
                <w:szCs w:val="20"/>
                <w:lang w:val="en-US"/>
              </w:rPr>
              <w:t>М. : НОРМА-ИНФРА, 1999.</w:t>
            </w:r>
          </w:p>
        </w:tc>
        <w:tc>
          <w:tcPr>
            <w:cnfStyle w:val="000000010000"/>
            <w:tcW w:w="3934" w:type="dxa"/>
            <w:shd w:val="clear"/>
            <w:vAlign w:val="center"/>
          </w:tcPr>
          <w:p>
            <w:pPr>
              <w:pStyle w:val="Default"/>
              <w:tabs>
                <w:tab w:val="left" w:leader="none" w:pos="993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Kashanina TV. Korporativnoe pravo [Corporate Law]. Moscow: NORMA-INFRA; 1999 (In Russ).</w:t>
            </w:r>
          </w:p>
        </w:tc>
      </w:tr>
      <w:tr>
        <w:trPr/>
        <w:tc>
          <w:tcPr>
            <w:cnfStyle w:val="001000100000"/>
            <w:tcW w:w="1526" w:type="dxa"/>
            <w:shd w:val="clear"/>
            <w:vAlign w:val="center"/>
          </w:tcPr>
          <w:p>
            <w:pPr>
              <w:pStyle w:val="Default"/>
              <w:tabs>
                <w:tab w:val="left" w:leader="none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Диссертация</w:t>
            </w:r>
          </w:p>
        </w:tc>
        <w:tc>
          <w:tcPr>
            <w:cnfStyle w:val="000000100000"/>
            <w:tcW w:w="3969" w:type="dxa"/>
            <w:shd w:val="clear"/>
            <w:vAlign w:val="center"/>
          </w:tcPr>
          <w:p>
            <w:pPr>
              <w:pStyle w:val="Default"/>
              <w:tabs>
                <w:tab w:val="left" w:leader="none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Шилина С.А. Управленческий дискурс как технология коммуникации в системе отношений государства и общества : дис. ... д-р соц. наук. М., 2015.</w:t>
            </w:r>
          </w:p>
        </w:tc>
        <w:tc>
          <w:tcPr>
            <w:cnfStyle w:val="000000100000"/>
            <w:tcW w:w="3934" w:type="dxa"/>
            <w:shd w:val="clear"/>
            <w:vAlign w:val="center"/>
          </w:tcPr>
          <w:p>
            <w:pPr>
              <w:pStyle w:val="Default"/>
              <w:tabs>
                <w:tab w:val="left" w:leader="none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Shilina S.A. Upravlencheskij diskurs kak tekhnologija kommunikatsii v sisteme otnoshenij gosudarstva i obshchestva [Managerial Discourse as a Technology of Communication in the System of Relations Between the State and Society] [Dissertation]. </w:t>
            </w:r>
            <w:r>
              <w:rPr>
                <w:sz w:val="20"/>
                <w:szCs w:val="20"/>
              </w:rPr>
              <w:t>Moscow; 2015 (In Russ)</w:t>
            </w:r>
          </w:p>
        </w:tc>
      </w:tr>
      <w:tr>
        <w:trPr/>
        <w:tc>
          <w:tcPr>
            <w:cnfStyle w:val="001000010000"/>
            <w:tcW w:w="1526" w:type="dxa"/>
            <w:shd w:val="clear"/>
            <w:vAlign w:val="center"/>
          </w:tcPr>
          <w:p>
            <w:pPr>
              <w:pStyle w:val="Default"/>
              <w:tabs>
                <w:tab w:val="left" w:leader="none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</w:t>
            </w:r>
          </w:p>
        </w:tc>
        <w:tc>
          <w:tcPr>
            <w:cnfStyle w:val="000000010000"/>
            <w:tcW w:w="3969" w:type="dxa"/>
            <w:shd w:val="clear"/>
            <w:vAlign w:val="center"/>
          </w:tcPr>
          <w:p>
            <w:pPr>
              <w:pStyle w:val="Default"/>
              <w:tabs>
                <w:tab w:val="left" w:leader="none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Российской Федерации №323-Ф3 от 21 ноября 2011 г. «Об основах охраны здоровья граждан Российской Федерации» // Министерство здравоохранения Российской Федерации : официальный сайт. Режим доступа: http://www.rosminzdrav.ru/documents/7025-federalnyy-zakon-323-fz-ot-21-noyabrya-2011-g. Дата обращения: 12.12.2014.</w:t>
            </w:r>
          </w:p>
        </w:tc>
        <w:tc>
          <w:tcPr>
            <w:cnfStyle w:val="000000010000"/>
            <w:tcW w:w="3934" w:type="dxa"/>
            <w:shd w:val="clear"/>
            <w:vAlign w:val="center"/>
          </w:tcPr>
          <w:p>
            <w:pPr>
              <w:pStyle w:val="Default"/>
              <w:tabs>
                <w:tab w:val="left" w:leader="none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Federal Law of Russian Federation №323-F3 of 21 November 2011. «Ob osnovakh okhrany zdorov'ya grazhdan Rossiiskoi Federatsii». Available from: http://www.rosminzdrav.ru/documents/7025-federalnyy-zakon-323-fz-ot-21-noyabrya-2011-g. </w:t>
            </w:r>
            <w:r>
              <w:rPr>
                <w:sz w:val="20"/>
                <w:szCs w:val="20"/>
              </w:rPr>
              <w:t>(In Russ).</w:t>
            </w:r>
          </w:p>
        </w:tc>
      </w:tr>
    </w:tbl>
    <w:p>
      <w:pPr>
        <w:pStyle w:val="Default"/>
        <w:tabs>
          <w:tab w:val="left" w:leader="none" w:pos="993"/>
        </w:tabs>
        <w:ind w:left="142"/>
        <w:jc w:val="both"/>
        <w:rPr>
          <w:i/>
          <w:sz w:val="28"/>
          <w:szCs w:val="28"/>
        </w:rPr>
      </w:pPr>
    </w:p>
    <w:p>
      <w:pPr>
        <w:pStyle w:val="Default"/>
        <w:numPr>
          <w:ilvl w:val="0"/>
          <w:numId w:val="2"/>
        </w:numPr>
        <w:tabs>
          <w:tab w:val="left" w:leader="none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Справка об авторах (ФИО</w:t>
      </w:r>
      <w:r>
        <w:rPr>
          <w:sz w:val="28"/>
          <w:szCs w:val="28"/>
        </w:rPr>
        <w:t xml:space="preserve"> всех авторов</w:t>
      </w:r>
      <w:r>
        <w:rPr>
          <w:sz w:val="28"/>
          <w:szCs w:val="28"/>
        </w:rPr>
        <w:t xml:space="preserve"> полностью,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полные названия учрежден</w:t>
      </w:r>
      <w:r>
        <w:rPr>
          <w:sz w:val="28"/>
          <w:szCs w:val="28"/>
        </w:rPr>
        <w:t xml:space="preserve">ий </w:t>
      </w:r>
      <w:r>
        <w:rPr>
          <w:sz w:val="28"/>
          <w:szCs w:val="28"/>
        </w:rPr>
        <w:t>без указа</w:t>
      </w:r>
      <w:r>
        <w:rPr>
          <w:sz w:val="28"/>
          <w:szCs w:val="28"/>
        </w:rPr>
        <w:t xml:space="preserve">ния правовой формы и учредителя и без кавычек, </w:t>
      </w:r>
      <w:r>
        <w:rPr>
          <w:sz w:val="28"/>
          <w:szCs w:val="28"/>
        </w:rPr>
        <w:t>должность,</w:t>
      </w:r>
      <w:r>
        <w:rPr>
          <w:sz w:val="28"/>
          <w:szCs w:val="28"/>
        </w:rPr>
        <w:t xml:space="preserve"> ученая степень и ученое звание,</w:t>
      </w:r>
      <w:r>
        <w:rPr>
          <w:sz w:val="28"/>
          <w:szCs w:val="28"/>
        </w:rPr>
        <w:t xml:space="preserve"> контактный телефон, электронная почта)</w:t>
      </w:r>
      <w:r>
        <w:rPr>
          <w:sz w:val="28"/>
          <w:szCs w:val="28"/>
        </w:rPr>
        <w:t>, печатать по ширине через одинарный интервал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>
      <w:pPr>
        <w:pStyle w:val="Default"/>
        <w:ind w:left="1069"/>
        <w:jc w:val="both"/>
        <w:rPr>
          <w:b/>
          <w:sz w:val="28"/>
          <w:szCs w:val="28"/>
        </w:rPr>
      </w:pPr>
    </w:p>
    <w:p>
      <w:pPr>
        <w:pStyle w:val="Default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ОБРАЗЕЦ ОФОРМЛЕНИЯ </w:t>
      </w:r>
      <w:r>
        <w:rPr>
          <w:bCs/>
          <w:sz w:val="28"/>
          <w:szCs w:val="28"/>
        </w:rPr>
        <w:t>СТАТЬИ</w:t>
      </w:r>
    </w:p>
    <w:p>
      <w:pPr>
        <w:pStyle w:val="Default"/>
        <w:ind w:firstLine="709"/>
        <w:jc w:val="both"/>
        <w:rPr>
          <w:sz w:val="28"/>
          <w:szCs w:val="28"/>
        </w:rPr>
      </w:pPr>
    </w:p>
    <w:p>
      <w:pPr>
        <w:pStyle w:val="Default"/>
        <w:spacing w:line="360" w:lineRule="auto"/>
        <w:jc w:val="both"/>
        <w:rPr/>
      </w:pPr>
      <w:r>
        <w:t>УДК …………………</w:t>
      </w:r>
    </w:p>
    <w:p>
      <w:pPr>
        <w:pStyle w:val="Default"/>
        <w:ind w:firstLine="709"/>
        <w:jc w:val="center"/>
        <w:rPr>
          <w:b/>
        </w:rPr>
      </w:pPr>
      <w:r>
        <w:rPr>
          <w:b/>
        </w:rPr>
        <w:t xml:space="preserve">ОБОСНОВАНИЕ ВЫБОРА МЕТОДИК </w:t>
      </w:r>
      <w:r>
        <w:rPr>
          <w:b/>
          <w:lang w:val="en-US"/>
        </w:rPr>
        <w:t>TAPP</w:t>
      </w:r>
      <w:r>
        <w:rPr>
          <w:b/>
        </w:rPr>
        <w:t xml:space="preserve"> и </w:t>
      </w:r>
      <w:r>
        <w:rPr>
          <w:b/>
          <w:lang w:val="en-US"/>
        </w:rPr>
        <w:t>TEP</w:t>
      </w:r>
      <w:r>
        <w:rPr>
          <w:b/>
        </w:rPr>
        <w:t xml:space="preserve"> В ЛЕЧЕНИИ БОЛЬНЫХ ПАХОВЫМИ ГРЫЖАМИ</w:t>
      </w:r>
    </w:p>
    <w:p>
      <w:pPr>
        <w:pStyle w:val="Default"/>
        <w:tabs>
          <w:tab w:val="center" w:leader="none" w:pos="5032"/>
          <w:tab w:val="left" w:leader="none" w:pos="7350"/>
        </w:tabs>
        <w:spacing w:before="120" w:after="120"/>
        <w:ind w:firstLine="709"/>
        <w:rPr/>
      </w:pPr>
      <w:r>
        <w:tab/>
        <w:t>Семенов</w:t>
      </w:r>
      <w:r>
        <w:t xml:space="preserve"> </w:t>
      </w:r>
      <w:r>
        <w:t>В.В.</w:t>
      </w:r>
      <w:r>
        <w:rPr>
          <w:vertAlign w:val="superscript"/>
        </w:rPr>
        <w:t>1</w:t>
      </w:r>
      <w:r>
        <w:t xml:space="preserve"> (4564-1971),</w:t>
      </w:r>
      <w:r>
        <w:t xml:space="preserve"> </w:t>
      </w:r>
      <w:r>
        <w:t>Петров</w:t>
      </w:r>
      <w:r>
        <w:t xml:space="preserve"> </w:t>
      </w:r>
      <w:r>
        <w:t>С.М.</w:t>
      </w:r>
      <w:r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(3243-5674)</w:t>
      </w:r>
    </w:p>
    <w:p>
      <w:pPr>
        <w:pStyle w:val="Default"/>
        <w:ind w:firstLine="709"/>
        <w:jc w:val="both"/>
        <w:rPr/>
      </w:pPr>
      <w:r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ФГ</w:t>
      </w:r>
      <w:r>
        <w:t>Б</w:t>
      </w:r>
      <w:r>
        <w:t>ОУ ВО</w:t>
      </w:r>
      <w:r>
        <w:rPr>
          <w:vertAlign w:val="superscript"/>
        </w:rPr>
        <w:t xml:space="preserve"> «</w:t>
      </w:r>
      <w:r>
        <w:t>Военно-медицинская академия имени С.М. Кирова</w:t>
      </w:r>
      <w:r>
        <w:t>» МО РФ</w:t>
      </w:r>
      <w:r>
        <w:t>,</w:t>
      </w:r>
      <w:r>
        <w:t xml:space="preserve"> </w:t>
      </w:r>
      <w:r>
        <w:t xml:space="preserve">194044 ул. Академика Лебедева 6Ж, </w:t>
      </w:r>
      <w:r>
        <w:t>Санкт-Петербург</w:t>
      </w:r>
      <w:r>
        <w:t xml:space="preserve">, </w:t>
      </w:r>
      <w:r>
        <w:t>Россия</w:t>
      </w:r>
    </w:p>
    <w:p>
      <w:pPr>
        <w:pStyle w:val="Default"/>
        <w:ind w:firstLine="709"/>
        <w:jc w:val="both"/>
        <w:rPr/>
      </w:pPr>
    </w:p>
    <w:p>
      <w:pPr>
        <w:pStyle w:val="Default"/>
        <w:ind w:firstLine="709"/>
        <w:jc w:val="both"/>
        <w:rPr>
          <w:b/>
        </w:rPr>
      </w:pPr>
      <w:r>
        <w:rPr>
          <w:b/>
        </w:rPr>
        <w:t>Резюме.</w:t>
      </w:r>
    </w:p>
    <w:p>
      <w:pPr>
        <w:pStyle w:val="Default"/>
        <w:ind w:firstLine="709"/>
        <w:jc w:val="both"/>
        <w:rPr>
          <w:b/>
        </w:rPr>
      </w:pPr>
      <w:r>
        <w:rPr>
          <w:b/>
        </w:rPr>
        <w:t>Ключевые слова:</w:t>
      </w:r>
    </w:p>
    <w:p>
      <w:pPr>
        <w:pStyle w:val="Default"/>
        <w:spacing w:line="360" w:lineRule="auto"/>
        <w:ind w:firstLine="709"/>
        <w:jc w:val="both"/>
        <w:rPr>
          <w:b/>
        </w:rPr>
      </w:pPr>
      <w:r>
        <w:rPr>
          <w:b/>
        </w:rPr>
        <w:t>Вышеизложенные разделы статьи на английском языке.</w:t>
      </w:r>
    </w:p>
    <w:p>
      <w:pPr>
        <w:pStyle w:val="Default"/>
        <w:spacing w:line="360" w:lineRule="auto"/>
        <w:ind w:firstLine="1276"/>
        <w:jc w:val="both"/>
        <w:rPr>
          <w:b/>
        </w:rPr>
      </w:pPr>
      <w:r>
        <w:rPr>
          <w:b/>
        </w:rPr>
        <w:t xml:space="preserve">Введение. </w:t>
      </w:r>
    </w:p>
    <w:p>
      <w:pPr>
        <w:pStyle w:val="Default"/>
        <w:spacing w:line="360" w:lineRule="auto"/>
        <w:ind w:firstLine="1276"/>
        <w:jc w:val="both"/>
        <w:rPr>
          <w:b/>
        </w:rPr>
      </w:pPr>
      <w:r>
        <w:rPr>
          <w:b/>
        </w:rPr>
        <w:t xml:space="preserve">Цель </w:t>
      </w:r>
      <w:r>
        <w:rPr>
          <w:b/>
        </w:rPr>
        <w:t>работы</w:t>
      </w:r>
      <w:r>
        <w:rPr>
          <w:b/>
        </w:rPr>
        <w:t>:</w:t>
      </w:r>
      <w:r>
        <w:rPr>
          <w:b/>
        </w:rPr>
        <w:t xml:space="preserve"> </w:t>
      </w:r>
    </w:p>
    <w:p>
      <w:pPr>
        <w:pStyle w:val="Default"/>
        <w:spacing w:line="360" w:lineRule="auto"/>
        <w:ind w:firstLine="1276"/>
        <w:jc w:val="both"/>
        <w:rPr>
          <w:b/>
        </w:rPr>
      </w:pPr>
      <w:r>
        <w:rPr>
          <w:b/>
        </w:rPr>
        <w:t>Материал</w:t>
      </w:r>
      <w:r>
        <w:rPr>
          <w:b/>
        </w:rPr>
        <w:t>ы</w:t>
      </w:r>
      <w:r>
        <w:rPr>
          <w:b/>
        </w:rPr>
        <w:t xml:space="preserve"> и методы исследования. </w:t>
      </w:r>
    </w:p>
    <w:p>
      <w:pPr>
        <w:pStyle w:val="Default"/>
        <w:spacing w:line="360" w:lineRule="auto"/>
        <w:ind w:firstLine="1276"/>
        <w:jc w:val="both"/>
        <w:rPr>
          <w:b/>
        </w:rPr>
      </w:pPr>
      <w:r>
        <w:rPr>
          <w:b/>
        </w:rPr>
        <w:t xml:space="preserve">Результаты и обсуждение. </w:t>
      </w:r>
    </w:p>
    <w:p>
      <w:pPr>
        <w:pStyle w:val="Default"/>
        <w:spacing w:line="360" w:lineRule="auto"/>
        <w:ind w:firstLine="1276"/>
        <w:jc w:val="both"/>
        <w:rPr>
          <w:b/>
        </w:rPr>
      </w:pPr>
      <w:r>
        <w:rPr>
          <w:b/>
        </w:rPr>
        <w:t xml:space="preserve">Заключение. (Выводы.) </w:t>
      </w:r>
    </w:p>
    <w:p>
      <w:pPr>
        <w:pStyle w:val="Default"/>
        <w:spacing w:line="360" w:lineRule="auto"/>
        <w:ind w:firstLine="708"/>
        <w:jc w:val="both"/>
        <w:rPr>
          <w:b/>
        </w:rPr>
      </w:pPr>
      <w:r>
        <w:rPr>
          <w:b/>
        </w:rPr>
        <w:t>Список литературы</w:t>
      </w:r>
      <w:r>
        <w:rPr>
          <w:b/>
        </w:rPr>
        <w:t>.</w:t>
      </w:r>
    </w:p>
    <w:p>
      <w:pPr>
        <w:pStyle w:val="Default"/>
        <w:spacing w:line="360" w:lineRule="auto"/>
        <w:ind w:firstLine="708"/>
        <w:jc w:val="both"/>
        <w:rPr>
          <w:b/>
        </w:rPr>
      </w:pPr>
      <w:r>
        <w:rPr>
          <w:b/>
          <w:lang w:val="en-US"/>
        </w:rPr>
        <w:t>Referenses</w:t>
      </w:r>
      <w:r>
        <w:rPr>
          <w:b/>
        </w:rPr>
        <w:t>.</w:t>
      </w:r>
    </w:p>
    <w:p>
      <w:pPr>
        <w:pStyle w:val="Default"/>
        <w:spacing w:line="360" w:lineRule="auto"/>
        <w:ind w:firstLine="708"/>
        <w:jc w:val="both"/>
        <w:rPr>
          <w:b/>
        </w:rPr>
      </w:pPr>
      <w:r>
        <w:rPr>
          <w:b/>
        </w:rPr>
        <w:t>Информация</w:t>
      </w:r>
      <w:r>
        <w:rPr>
          <w:b/>
        </w:rPr>
        <w:t xml:space="preserve"> об авторах.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Примечание.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Литературные ссылки указываются в порядке цитирования в рукописи. В тексте дается ссылка на порядковый номер цитируемой работы в квадратных скобках [1] или [1, 2]. </w:t>
      </w:r>
    </w:p>
    <w:p>
      <w:pPr>
        <w:pStyle w:val="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с соблюдением всех требований </w:t>
      </w:r>
      <w:r>
        <w:rPr>
          <w:rFonts w:ascii="Times New Roman" w:hAnsi="Times New Roman"/>
          <w:sz w:val="28"/>
          <w:szCs w:val="28"/>
        </w:rPr>
        <w:t xml:space="preserve">к оформлению и изложению текста </w:t>
      </w:r>
      <w:r>
        <w:rPr>
          <w:rFonts w:ascii="Times New Roman" w:hAnsi="Times New Roman"/>
          <w:sz w:val="28"/>
          <w:szCs w:val="28"/>
        </w:rPr>
        <w:t>будут размещены в базе данных РИНЦ (</w:t>
      </w:r>
      <w:r>
        <w:fldChar w:fldCharType="begin"/>
      </w:r>
      <w:r>
        <w:instrText xml:space="preserve">HYPERLINK "http://elibrary.ru)/"</w:instrText>
      </w:r>
      <w:r>
        <w:fldChar w:fldCharType="separate"/>
      </w:r>
      <w:r>
        <w:rPr>
          <w:rStyle w:val="Hyperlink"/>
          <w:rFonts w:ascii="Times New Roman" w:hAnsi="Times New Roman"/>
          <w:sz w:val="28"/>
          <w:szCs w:val="28"/>
          <w:lang w:val="en-US"/>
        </w:rPr>
        <w:t>http</w:t>
      </w:r>
      <w:r>
        <w:rPr>
          <w:rStyle w:val="Hyperlink"/>
          <w:rFonts w:ascii="Times New Roman" w:hAnsi="Times New Roman"/>
          <w:sz w:val="28"/>
          <w:szCs w:val="28"/>
        </w:rPr>
        <w:t>://</w:t>
      </w:r>
      <w:r>
        <w:rPr>
          <w:rStyle w:val="Hyperlink"/>
          <w:rFonts w:ascii="Times New Roman" w:hAnsi="Times New Roman"/>
          <w:sz w:val="28"/>
          <w:szCs w:val="28"/>
          <w:lang w:val="en-US"/>
        </w:rPr>
        <w:t>elibrary</w:t>
      </w:r>
      <w:r>
        <w:rPr>
          <w:rStyle w:val="Hyperlink"/>
          <w:rFonts w:ascii="Times New Roman" w:hAnsi="Times New Roman"/>
          <w:sz w:val="28"/>
          <w:szCs w:val="28"/>
        </w:rPr>
        <w:t>.</w:t>
      </w:r>
      <w:r>
        <w:rPr>
          <w:rStyle w:val="Hyperlink"/>
          <w:rFonts w:ascii="Times New Roman" w:hAnsi="Times New Roman"/>
          <w:sz w:val="28"/>
          <w:szCs w:val="28"/>
          <w:lang w:val="en-US"/>
        </w:rPr>
        <w:t>ru</w:t>
      </w:r>
      <w:r>
        <w:rPr>
          <w:rStyle w:val="Hyperlink"/>
          <w:rFonts w:ascii="Times New Roman" w:hAnsi="Times New Roman"/>
          <w:sz w:val="28"/>
          <w:szCs w:val="28"/>
        </w:rPr>
        <w:t>)</w: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Статьи</w:t>
      </w:r>
      <w:r>
        <w:rPr>
          <w:rFonts w:ascii="Times New Roman" w:hAnsi="Times New Roman"/>
          <w:b/>
          <w:sz w:val="28"/>
          <w:szCs w:val="28"/>
          <w:u w:val="single"/>
        </w:rPr>
        <w:t>, оформленные с нарушением правил, рассматриваться, редактироваться и публиковаться не будут.</w:t>
      </w:r>
    </w:p>
    <w:p>
      <w:pPr>
        <w:pStyle w:val="Normal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конференции и дополнительные сведения о ее проведении будут сообщены в информационном письме №2.</w:t>
      </w:r>
    </w:p>
    <w:p>
      <w:pPr>
        <w:pStyle w:val="Normal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MS Mincho"/>
    <w:panose1 w:val="00000000000000000000"/>
    <w:charset w:val="80"/>
    <w:family w:val="auto"/>
    <w:pitch w:val="variable"/>
    <w:sig w:usb0="00000000" w:usb1="7ac7ffff" w:usb2="00000012" w:usb3="00000000" w:csb0="0002000d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Calibri Light"/>
  <w:font w:name="Vrinda"/>
  <w:font w:name="Microsoft JhengHei"/>
  <w:font w:name="Plantagenet Cherokee"/>
  <w:font w:name="Mangal"/>
  <w:font w:name="Nyala"/>
  <w:font w:name="Sylfaen"/>
  <w:font w:name="Shruti"/>
  <w:font w:name="Raavi"/>
  <w:font w:name="맑은 고딕"/>
  <w:font w:name="Tunga"/>
  <w:font w:name="MoolBoran"/>
  <w:font w:name="DokChampa"/>
  <w:font w:name="Kartika"/>
  <w:font w:name="Mongolian Baiti"/>
  <w:font w:name="Myanmar Text"/>
  <w:font w:name="Kalinga"/>
  <w:font w:name="Iskoola Pota"/>
  <w:font w:name="Estrangelo Edessa"/>
  <w:font w:name="Latha"/>
  <w:font w:name="Gautami"/>
  <w:font w:name="MV Boli"/>
  <w:font w:name="Angsana New"/>
  <w:font w:name="Microsoft Himalaya"/>
  <w:font w:name="Euphemia"/>
  <w:font w:name="Microsoft Yi Baiti"/>
  <w:font w:name="Ebrima"/>
  <w:font w:name="Microsoft Tai Le"/>
  <w:font w:name="Leelawadee UI"/>
  <w:font w:name="Microsoft New Tai Lue"/>
  <w:font w:name="等线 Light"/>
  <w:font w:name="新細明體"/>
  <w:font w:name="Javanese Text"/>
  <w:font w:name="Phagspa"/>
  <w:font w:name="游ゴシック Light"/>
  <w:font w:name="Nirmala UI"/>
  <w:font w:name="Segoe UI"/>
  <w:font w:name="DaunPenh"/>
  <w:font w:name="Cordia New"/>
  <w:font w:name="等线"/>
  <w:font w:name="游明朝"/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68" w:hanging="360"/>
      </w:pPr>
      <w:rPr/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/>
    </w:lvl>
    <w:lvl w:ilvl="2">
      <w:start w:val="1"/>
      <w:numFmt w:val="lowerRoman"/>
      <w:suff w:val="tab"/>
      <w:lvlText w:val="%3."/>
      <w:lvlJc w:val="right"/>
      <w:pPr>
        <w:ind w:left="2508" w:hanging="180"/>
      </w:pPr>
      <w:rPr/>
    </w:lvl>
    <w:lvl w:ilvl="3">
      <w:start w:val="1"/>
      <w:numFmt w:val="decimal"/>
      <w:suff w:val="tab"/>
      <w:lvlText w:val="%4."/>
      <w:lvlJc w:val="left"/>
      <w:pPr>
        <w:ind w:left="3228" w:hanging="360"/>
      </w:pPr>
      <w:rPr/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/>
    </w:lvl>
    <w:lvl w:ilvl="5">
      <w:start w:val="1"/>
      <w:numFmt w:val="lowerRoman"/>
      <w:suff w:val="tab"/>
      <w:lvlText w:val="%6."/>
      <w:lvlJc w:val="right"/>
      <w:pPr>
        <w:ind w:left="4668" w:hanging="180"/>
      </w:pPr>
      <w:rPr/>
    </w:lvl>
    <w:lvl w:ilvl="6">
      <w:start w:val="1"/>
      <w:numFmt w:val="decimal"/>
      <w:suff w:val="tab"/>
      <w:lvlText w:val="%7."/>
      <w:lvlJc w:val="left"/>
      <w:pPr>
        <w:ind w:left="5388" w:hanging="360"/>
      </w:pPr>
      <w:rPr/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/>
    </w:lvl>
    <w:lvl w:ilvl="8">
      <w:start w:val="1"/>
      <w:numFmt w:val="lowerRoman"/>
      <w:suff w:val="tab"/>
      <w:lvlText w:val="%9."/>
      <w:lvlJc w:val="right"/>
      <w:pPr>
        <w:ind w:left="6828" w:hanging="180"/>
      </w:pPr>
      <w:rPr/>
    </w:lvl>
  </w:abstractNum>
  <w:abstractNum w:abstractNumId="1">
    <w:multiLevelType w:val="multilevel"/>
    <w:lvl w:ilvl="0">
      <w:start w:val="7"/>
      <w:numFmt w:val="decimal"/>
      <w:suff w:val="tab"/>
      <w:lvlText w:val="%1."/>
      <w:lvlJc w:val="left"/>
      <w:pPr>
        <w:ind w:left="1069" w:hanging="360"/>
      </w:pPr>
      <w:rPr/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/>
    </w:lvl>
    <w:lvl w:ilvl="2">
      <w:start w:val="1"/>
      <w:numFmt w:val="lowerRoman"/>
      <w:suff w:val="tab"/>
      <w:lvlText w:val="%3."/>
      <w:lvlJc w:val="right"/>
      <w:pPr>
        <w:ind w:left="2509" w:hanging="180"/>
      </w:pPr>
      <w:rPr/>
    </w:lvl>
    <w:lvl w:ilvl="3">
      <w:start w:val="1"/>
      <w:numFmt w:val="decimal"/>
      <w:suff w:val="tab"/>
      <w:lvlText w:val="%4."/>
      <w:lvlJc w:val="left"/>
      <w:pPr>
        <w:ind w:left="3229" w:hanging="360"/>
      </w:pPr>
      <w:rPr/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/>
    </w:lvl>
    <w:lvl w:ilvl="5">
      <w:start w:val="1"/>
      <w:numFmt w:val="lowerRoman"/>
      <w:suff w:val="tab"/>
      <w:lvlText w:val="%6."/>
      <w:lvlJc w:val="right"/>
      <w:pPr>
        <w:ind w:left="4669" w:hanging="180"/>
      </w:pPr>
      <w:rPr/>
    </w:lvl>
    <w:lvl w:ilvl="6">
      <w:start w:val="1"/>
      <w:numFmt w:val="decimal"/>
      <w:suff w:val="tab"/>
      <w:lvlText w:val="%7."/>
      <w:lvlJc w:val="left"/>
      <w:pPr>
        <w:ind w:left="5389" w:hanging="360"/>
      </w:pPr>
      <w:rPr/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/>
    </w:lvl>
    <w:lvl w:ilvl="8">
      <w:start w:val="1"/>
      <w:numFmt w:val="lowerRoman"/>
      <w:suff w:val="tab"/>
      <w:lvlText w:val="%9."/>
      <w:lvlJc w:val="right"/>
      <w:pPr>
        <w:ind w:left="6829" w:hanging="180"/>
      </w:pPr>
      <w:rPr/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786" w:hanging="360"/>
      </w:pPr>
      <w:rPr/>
    </w:lvl>
    <w:lvl w:ilvl="1">
      <w:start w:val="1"/>
      <w:numFmt w:val="lowerLetter"/>
      <w:suff w:val="tab"/>
      <w:lvlText w:val="%2."/>
      <w:lvlJc w:val="left"/>
      <w:pPr>
        <w:ind w:left="1506" w:hanging="360"/>
      </w:pPr>
      <w:rPr/>
    </w:lvl>
    <w:lvl w:ilvl="2">
      <w:start w:val="1"/>
      <w:numFmt w:val="lowerRoman"/>
      <w:suff w:val="tab"/>
      <w:lvlText w:val="%3."/>
      <w:lvlJc w:val="right"/>
      <w:pPr>
        <w:ind w:left="2226" w:hanging="180"/>
      </w:pPr>
      <w:rPr/>
    </w:lvl>
    <w:lvl w:ilvl="3">
      <w:start w:val="1"/>
      <w:numFmt w:val="decimal"/>
      <w:suff w:val="tab"/>
      <w:lvlText w:val="%4."/>
      <w:lvlJc w:val="left"/>
      <w:pPr>
        <w:ind w:left="2946" w:hanging="360"/>
      </w:pPr>
      <w:rPr/>
    </w:lvl>
    <w:lvl w:ilvl="4">
      <w:start w:val="1"/>
      <w:numFmt w:val="lowerLetter"/>
      <w:suff w:val="tab"/>
      <w:lvlText w:val="%5."/>
      <w:lvlJc w:val="left"/>
      <w:pPr>
        <w:ind w:left="3666" w:hanging="360"/>
      </w:pPr>
      <w:rPr/>
    </w:lvl>
    <w:lvl w:ilvl="5">
      <w:start w:val="1"/>
      <w:numFmt w:val="lowerRoman"/>
      <w:suff w:val="tab"/>
      <w:lvlText w:val="%6."/>
      <w:lvlJc w:val="right"/>
      <w:pPr>
        <w:ind w:left="4386" w:hanging="180"/>
      </w:pPr>
      <w:rPr/>
    </w:lvl>
    <w:lvl w:ilvl="6">
      <w:start w:val="1"/>
      <w:numFmt w:val="decimal"/>
      <w:suff w:val="tab"/>
      <w:lvlText w:val="%7."/>
      <w:lvlJc w:val="left"/>
      <w:pPr>
        <w:ind w:left="5106" w:hanging="360"/>
      </w:pPr>
      <w:rPr/>
    </w:lvl>
    <w:lvl w:ilvl="7">
      <w:start w:val="1"/>
      <w:numFmt w:val="lowerLetter"/>
      <w:suff w:val="tab"/>
      <w:lvlText w:val="%8."/>
      <w:lvlJc w:val="left"/>
      <w:pPr>
        <w:ind w:left="5826" w:hanging="360"/>
      </w:pPr>
      <w:rPr/>
    </w:lvl>
    <w:lvl w:ilvl="8">
      <w:start w:val="1"/>
      <w:numFmt w:val="lowerRoman"/>
      <w:suff w:val="tab"/>
      <w:lvlText w:val="%9."/>
      <w:lvlJc w:val="right"/>
      <w:pPr>
        <w:ind w:left="6546" w:hanging="180"/>
      </w:pPr>
      <w:rPr/>
    </w:lvl>
  </w:abstractNum>
  <w:abstractNum w:abstractNumId="3">
    <w:multiLevelType w:val="multilevel"/>
    <w:lvl w:ilvl="0">
      <w:start w:val="5"/>
      <w:numFmt w:val="decimal"/>
      <w:suff w:val="tab"/>
      <w:lvlText w:val="%1."/>
      <w:lvlJc w:val="left"/>
      <w:pPr>
        <w:ind w:left="1069" w:hanging="360"/>
      </w:pPr>
      <w:rPr/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/>
    </w:lvl>
    <w:lvl w:ilvl="2">
      <w:start w:val="1"/>
      <w:numFmt w:val="lowerRoman"/>
      <w:suff w:val="tab"/>
      <w:lvlText w:val="%3."/>
      <w:lvlJc w:val="right"/>
      <w:pPr>
        <w:ind w:left="2509" w:hanging="180"/>
      </w:pPr>
      <w:rPr/>
    </w:lvl>
    <w:lvl w:ilvl="3">
      <w:start w:val="1"/>
      <w:numFmt w:val="decimal"/>
      <w:suff w:val="tab"/>
      <w:lvlText w:val="%4."/>
      <w:lvlJc w:val="left"/>
      <w:pPr>
        <w:ind w:left="3229" w:hanging="360"/>
      </w:pPr>
      <w:rPr/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/>
    </w:lvl>
    <w:lvl w:ilvl="5">
      <w:start w:val="1"/>
      <w:numFmt w:val="lowerRoman"/>
      <w:suff w:val="tab"/>
      <w:lvlText w:val="%6."/>
      <w:lvlJc w:val="right"/>
      <w:pPr>
        <w:ind w:left="4669" w:hanging="180"/>
      </w:pPr>
      <w:rPr/>
    </w:lvl>
    <w:lvl w:ilvl="6">
      <w:start w:val="1"/>
      <w:numFmt w:val="decimal"/>
      <w:suff w:val="tab"/>
      <w:lvlText w:val="%7."/>
      <w:lvlJc w:val="left"/>
      <w:pPr>
        <w:ind w:left="5389" w:hanging="360"/>
      </w:pPr>
      <w:rPr/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/>
    </w:lvl>
    <w:lvl w:ilvl="8">
      <w:start w:val="1"/>
      <w:numFmt w:val="lowerRoman"/>
      <w:suff w:val="tab"/>
      <w:lvlText w:val="%9."/>
      <w:lvlJc w:val="right"/>
      <w:pPr>
        <w:ind w:left="6829" w:hanging="180"/>
      </w:pPr>
      <w:rPr/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ind w:left="502" w:hanging="360"/>
      </w:pPr>
      <w:rPr/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/>
    </w:lvl>
    <w:lvl w:ilvl="2">
      <w:start w:val="1"/>
      <w:numFmt w:val="lowerRoman"/>
      <w:suff w:val="tab"/>
      <w:lvlText w:val="%3."/>
      <w:lvlJc w:val="right"/>
      <w:pPr>
        <w:ind w:left="2509" w:hanging="180"/>
      </w:pPr>
      <w:rPr/>
    </w:lvl>
    <w:lvl w:ilvl="3">
      <w:start w:val="1"/>
      <w:numFmt w:val="decimal"/>
      <w:suff w:val="tab"/>
      <w:lvlText w:val="%4."/>
      <w:lvlJc w:val="left"/>
      <w:pPr>
        <w:ind w:left="3229" w:hanging="360"/>
      </w:pPr>
      <w:rPr/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/>
    </w:lvl>
    <w:lvl w:ilvl="5">
      <w:start w:val="1"/>
      <w:numFmt w:val="lowerRoman"/>
      <w:suff w:val="tab"/>
      <w:lvlText w:val="%6."/>
      <w:lvlJc w:val="right"/>
      <w:pPr>
        <w:ind w:left="4669" w:hanging="180"/>
      </w:pPr>
      <w:rPr/>
    </w:lvl>
    <w:lvl w:ilvl="6">
      <w:start w:val="1"/>
      <w:numFmt w:val="decimal"/>
      <w:suff w:val="tab"/>
      <w:lvlText w:val="%7."/>
      <w:lvlJc w:val="left"/>
      <w:pPr>
        <w:ind w:left="5389" w:hanging="360"/>
      </w:pPr>
      <w:rPr/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/>
    </w:lvl>
    <w:lvl w:ilvl="8">
      <w:start w:val="1"/>
      <w:numFmt w:val="lowerRoman"/>
      <w:suff w:val="tab"/>
      <w:lvlText w:val="%9."/>
      <w:lvlJc w:val="right"/>
      <w:pPr>
        <w:ind w:left="6829" w:hanging="180"/>
      </w:pPr>
      <w:rPr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trackRevisions w:val="off"/>
  <w:displayBackgroundShape w:val="off"/>
  <w:compat>
    <w:compatSetting w:name="compatibilityMode" w:uri="http://schemas.microsoft.com/office/word" w:val="11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cs="Times New Roman" w:eastAsia="Calibri" w:hAnsi="Calibri"/>
        <w:sz w:val="20"/>
      </w:rPr>
    </w:rPrDefault>
    <w:pPrDefault/>
  </w:docDefaults>
  <w:style w:type="paragraph" w:default="1" w:styleId="Normal">
    <w:name w:val="Normal"/>
    <w:link w:val="Normal"/>
    <w:uiPriority w:val="0"/>
    <w:qFormat w:val="on"/>
    <w:pPr>
      <w:spacing w:after="200" w:line="276" w:lineRule="auto"/>
    </w:pPr>
    <w:rPr>
      <w:sz w:val="22"/>
      <w:szCs w:val="22"/>
      <w:lang w:val="ru-RU" w:bidi="ar-SA" w:eastAsia="en-US"/>
    </w:rPr>
  </w:style>
  <w:style w:type="paragraph" w:styleId="Heading1">
    <w:name w:val="Heading 1"/>
    <w:basedOn w:val="Normal"/>
    <w:link w:val="Заголовок1Знак"/>
    <w:uiPriority w:val="9"/>
    <w:qFormat w:val="on"/>
    <w:pPr>
      <w:spacing w:before="100" w:after="100" w:line="240" w:lineRule="auto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default="1" w:styleId="Defaultparagraphfont">
    <w:name w:val="Default paragraph font"/>
    <w:link w:val="Normal"/>
    <w:uiPriority w:val="1"/>
    <w:rPr/>
  </w:style>
  <w:style w:type="table" w:default="1" w:styleId="Normaltable">
    <w:name w:val="Normal table"/>
    <w:uiPriority w:val="99"/>
    <w:semiHidden w:val="on"/>
    <w:qFormat w:val="on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pPr/>
  </w:style>
  <w:style w:type="paragraph" w:customStyle="1" w:styleId="Заголовок11">
    <w:name w:val="Заголовок 11"/>
    <w:next w:val="Normal"/>
    <w:link w:val="Normal"/>
    <w:uiPriority w:val="0"/>
    <w:pPr>
      <w:keepNext w:val="on"/>
      <w:spacing w:line="360" w:lineRule="auto"/>
      <w:jc w:val="both"/>
    </w:pPr>
    <w:rPr>
      <w:rFonts w:ascii="Times New Roman Bold" w:eastAsia="ヒラギノ角ゴ Pro W3" w:hAnsi="Times New Roman Bold"/>
      <w:color w:val="000000"/>
      <w:sz w:val="28"/>
      <w:lang w:val="ru-RU" w:bidi="ar-SA" w:eastAsia="ru-RU"/>
    </w:rPr>
  </w:style>
  <w:style w:type="paragraph" w:styleId="Listparagraph">
    <w:name w:val="List paragraph"/>
    <w:basedOn w:val="Normal"/>
    <w:link w:val="Normal"/>
    <w:uiPriority w:val="34"/>
    <w:qFormat w:val="on"/>
    <w:pPr>
      <w:ind w:left="720"/>
    </w:pPr>
    <w:rPr/>
  </w:style>
  <w:style w:type="character" w:styleId="Hyperlink">
    <w:name w:val="Hyperlink"/>
    <w:link w:val="Normal"/>
    <w:uiPriority w:val="99"/>
    <w:rPr>
      <w:color w:val="0000ff"/>
      <w:u w:val="single"/>
    </w:rPr>
  </w:style>
  <w:style w:type="character" w:customStyle="1" w:styleId="Bigtext">
    <w:name w:val="Bigtext"/>
    <w:link w:val="Normal"/>
    <w:uiPriority w:val="0"/>
    <w:rPr/>
  </w:style>
  <w:style w:type="character" w:customStyle="1" w:styleId="Hithilite">
    <w:name w:val="Hithilite"/>
    <w:link w:val="Normal"/>
    <w:uiPriority w:val="0"/>
    <w:rPr/>
  </w:style>
  <w:style w:type="character" w:customStyle="1" w:styleId="Value">
    <w:name w:val="Value"/>
    <w:link w:val="Normal"/>
    <w:uiPriority w:val="0"/>
    <w:rPr/>
  </w:style>
  <w:style w:type="paragraph" w:customStyle="1" w:styleId="Default">
    <w:name w:val="Default"/>
    <w:link w:val="Normal"/>
    <w:uiPriority w:val="0"/>
    <w:pPr/>
    <w:rPr>
      <w:rFonts w:ascii="Times New Roman" w:eastAsia="Times New Roman" w:hAnsi="Times New Roman"/>
      <w:color w:val="000000"/>
      <w:sz w:val="24"/>
      <w:szCs w:val="24"/>
      <w:lang w:val="ru-RU" w:bidi="ar-SA" w:eastAsia="ru-RU"/>
    </w:rPr>
  </w:style>
  <w:style w:type="character" w:customStyle="1" w:styleId="Заголовок1Знак">
    <w:name w:val="Заголовок 1 Знак"/>
    <w:link w:val="Heading1"/>
    <w:uiPriority w:val="9"/>
    <w:rPr>
      <w:rFonts w:ascii="Times New Roman" w:eastAsia="Times New Roman" w:hAnsi="Times New Roman"/>
      <w:b/>
      <w:bCs/>
      <w:sz w:val="48"/>
      <w:szCs w:val="48"/>
    </w:rPr>
  </w:style>
  <w:style w:type="character" w:styleId="Followedhyperlink">
    <w:name w:val="Followedhyperlink"/>
    <w:link w:val="Normal"/>
    <w:uiPriority w:val="99"/>
    <w:semiHidden w:val="on"/>
    <w:rPr>
      <w:color w:val="954f72"/>
      <w:u w:val="single"/>
    </w:rPr>
  </w:style>
  <w:style w:type="paragraph" w:styleId="Footnotetext">
    <w:name w:val="Footnote text"/>
    <w:basedOn w:val="Normal"/>
    <w:link w:val="ТекстсноскиЗнак"/>
    <w:uiPriority w:val="99"/>
    <w:semiHidden w:val="on"/>
    <w:pPr/>
    <w:rPr>
      <w:sz w:val="20"/>
      <w:szCs w:val="20"/>
    </w:rPr>
  </w:style>
  <w:style w:type="character" w:customStyle="1" w:styleId="ТекстсноскиЗнак">
    <w:name w:val="Текст сноски Знак"/>
    <w:link w:val="Footnotetext"/>
    <w:uiPriority w:val="99"/>
    <w:semiHidden w:val="on"/>
    <w:rPr>
      <w:lang w:eastAsia="en-US"/>
    </w:rPr>
  </w:style>
  <w:style w:type="character" w:styleId="Footnotereference">
    <w:name w:val="Footnote reference"/>
    <w:link w:val="Normal"/>
    <w:uiPriority w:val="99"/>
    <w:semiHidden w:val="on"/>
    <w:rPr>
      <w:vertAlign w:val="superscript"/>
    </w:rPr>
  </w:style>
  <w:style w:type="table" w:styleId="Tablegrid">
    <w:name w:val="Table grid"/>
    <w:basedOn w:val="Normaltable"/>
    <w:uiPriority w:val="59"/>
    <w:pPr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таблиц">
    <w:name w:val="таблиц"/>
    <w:basedOn w:val="Default"/>
    <w:link w:val="Normal"/>
    <w:uiPriority w:val="0"/>
    <w:qFormat w:val="on"/>
    <w:pPr>
      <w:tabs>
        <w:tab w:val="left" w:leader="none" w:pos="993"/>
      </w:tabs>
    </w:pPr>
    <w:rPr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sx="100000" sy="100000" kx="0" ky="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semenov.valeriy.1985@gmail.com</cp:lastModifiedBy>
</cp:coreProperties>
</file>